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60AD3" w14:textId="2E2A1B76" w:rsidR="002F494B" w:rsidRDefault="002F494B" w:rsidP="001049D3">
      <w:pPr>
        <w:suppressAutoHyphens/>
        <w:jc w:val="right"/>
        <w:rPr>
          <w:rFonts w:ascii="Bookman Old Style" w:eastAsia="Cambria" w:hAnsi="Bookman Old Style" w:cs="Arial"/>
          <w:b/>
          <w:sz w:val="28"/>
          <w:szCs w:val="28"/>
        </w:rPr>
      </w:pPr>
      <w:r>
        <w:rPr>
          <w:rFonts w:ascii="Bookman Old Style" w:eastAsia="Cambria" w:hAnsi="Bookman Old Style" w:cs="Arial"/>
          <w:b/>
          <w:sz w:val="28"/>
          <w:szCs w:val="28"/>
        </w:rPr>
        <w:t>ODPIS</w:t>
      </w:r>
    </w:p>
    <w:p w14:paraId="637B0596" w14:textId="05898A7C" w:rsidR="00A7327E" w:rsidRDefault="00A7327E" w:rsidP="001049D3">
      <w:pPr>
        <w:suppressAutoHyphens/>
        <w:jc w:val="center"/>
        <w:rPr>
          <w:rFonts w:ascii="Bookman Old Style" w:eastAsia="Cambria" w:hAnsi="Bookman Old Style" w:cs="Arial"/>
          <w:b/>
          <w:sz w:val="28"/>
          <w:szCs w:val="28"/>
        </w:rPr>
      </w:pPr>
    </w:p>
    <w:p w14:paraId="089276D1" w14:textId="77777777" w:rsidR="00865804" w:rsidRDefault="00865804" w:rsidP="001049D3">
      <w:pPr>
        <w:suppressAutoHyphens/>
        <w:jc w:val="center"/>
        <w:rPr>
          <w:rFonts w:ascii="Bookman Old Style" w:eastAsia="Cambria" w:hAnsi="Bookman Old Style" w:cs="Arial"/>
          <w:b/>
          <w:sz w:val="28"/>
          <w:szCs w:val="28"/>
        </w:rPr>
      </w:pPr>
    </w:p>
    <w:p w14:paraId="43F4159C" w14:textId="6FD50639" w:rsidR="002B1826" w:rsidRPr="00C62B29" w:rsidRDefault="002B1826" w:rsidP="001049D3">
      <w:pPr>
        <w:suppressAutoHyphens/>
        <w:jc w:val="center"/>
        <w:rPr>
          <w:rFonts w:ascii="Bookman Old Style" w:eastAsia="Cambria" w:hAnsi="Bookman Old Style" w:cs="Arial"/>
          <w:b/>
          <w:sz w:val="28"/>
          <w:szCs w:val="28"/>
        </w:rPr>
      </w:pPr>
      <w:r w:rsidRPr="00C62B29">
        <w:rPr>
          <w:rFonts w:ascii="Bookman Old Style" w:eastAsia="Cambria" w:hAnsi="Bookman Old Style" w:cs="Arial"/>
          <w:b/>
          <w:sz w:val="28"/>
          <w:szCs w:val="28"/>
        </w:rPr>
        <w:t xml:space="preserve">Uchwała </w:t>
      </w:r>
      <w:r w:rsidR="00546310" w:rsidRPr="00C62B29">
        <w:rPr>
          <w:rFonts w:ascii="Bookman Old Style" w:eastAsia="Cambria" w:hAnsi="Bookman Old Style" w:cs="Arial"/>
          <w:b/>
          <w:sz w:val="28"/>
          <w:szCs w:val="28"/>
        </w:rPr>
        <w:t xml:space="preserve">43 </w:t>
      </w:r>
      <w:r w:rsidR="00105123" w:rsidRPr="00C62B29">
        <w:rPr>
          <w:rFonts w:ascii="Bookman Old Style" w:eastAsia="Cambria" w:hAnsi="Bookman Old Style" w:cs="Arial"/>
          <w:b/>
          <w:sz w:val="28"/>
          <w:szCs w:val="28"/>
        </w:rPr>
        <w:t>/</w:t>
      </w:r>
      <w:r w:rsidR="00546310" w:rsidRPr="00C62B29">
        <w:rPr>
          <w:rFonts w:ascii="Bookman Old Style" w:eastAsia="Cambria" w:hAnsi="Bookman Old Style" w:cs="Arial"/>
          <w:b/>
          <w:sz w:val="28"/>
          <w:szCs w:val="28"/>
        </w:rPr>
        <w:t xml:space="preserve"> VI </w:t>
      </w:r>
      <w:r w:rsidRPr="00C62B29">
        <w:rPr>
          <w:rFonts w:ascii="Bookman Old Style" w:eastAsia="Cambria" w:hAnsi="Bookman Old Style" w:cs="Arial"/>
          <w:b/>
          <w:sz w:val="28"/>
          <w:szCs w:val="28"/>
        </w:rPr>
        <w:t>/20</w:t>
      </w:r>
      <w:r w:rsidR="002A2929" w:rsidRPr="00C62B29">
        <w:rPr>
          <w:rFonts w:ascii="Bookman Old Style" w:eastAsia="Cambria" w:hAnsi="Bookman Old Style" w:cs="Arial"/>
          <w:b/>
          <w:sz w:val="28"/>
          <w:szCs w:val="28"/>
        </w:rPr>
        <w:t>2</w:t>
      </w:r>
      <w:r w:rsidR="004809F9" w:rsidRPr="00C62B29">
        <w:rPr>
          <w:rFonts w:ascii="Bookman Old Style" w:eastAsia="Cambria" w:hAnsi="Bookman Old Style" w:cs="Arial"/>
          <w:b/>
          <w:sz w:val="28"/>
          <w:szCs w:val="28"/>
        </w:rPr>
        <w:t>2</w:t>
      </w:r>
    </w:p>
    <w:p w14:paraId="05EDCE1A" w14:textId="77777777" w:rsidR="002B1826" w:rsidRPr="00C62B29" w:rsidRDefault="002B1826" w:rsidP="001049D3">
      <w:pPr>
        <w:suppressAutoHyphens/>
        <w:jc w:val="center"/>
        <w:rPr>
          <w:rFonts w:ascii="Bookman Old Style" w:eastAsia="Cambria" w:hAnsi="Bookman Old Style" w:cs="Arial"/>
          <w:b/>
          <w:sz w:val="28"/>
          <w:szCs w:val="28"/>
        </w:rPr>
      </w:pPr>
      <w:r w:rsidRPr="00C62B29">
        <w:rPr>
          <w:rFonts w:ascii="Bookman Old Style" w:eastAsia="Cambria" w:hAnsi="Bookman Old Style" w:cs="Arial"/>
          <w:b/>
          <w:sz w:val="28"/>
          <w:szCs w:val="28"/>
        </w:rPr>
        <w:t>Zarządu Głównego Stowarzyszenia Notariuszy Rzeczypospolitej Polskiej,</w:t>
      </w:r>
    </w:p>
    <w:p w14:paraId="0F08796A" w14:textId="77777777" w:rsidR="002B1826" w:rsidRPr="00C62B29" w:rsidRDefault="0009348D" w:rsidP="001049D3">
      <w:pPr>
        <w:suppressAutoHyphens/>
        <w:jc w:val="center"/>
        <w:rPr>
          <w:rFonts w:ascii="Bookman Old Style" w:eastAsia="Cambria" w:hAnsi="Bookman Old Style" w:cs="Arial"/>
          <w:sz w:val="28"/>
          <w:szCs w:val="28"/>
        </w:rPr>
      </w:pPr>
      <w:r w:rsidRPr="00C62B29">
        <w:rPr>
          <w:rFonts w:ascii="Bookman Old Style" w:eastAsia="Cambria" w:hAnsi="Bookman Old Style" w:cs="Arial"/>
          <w:sz w:val="28"/>
          <w:szCs w:val="28"/>
        </w:rPr>
        <w:t xml:space="preserve">podjęta drogą obiegową dnia </w:t>
      </w:r>
      <w:r w:rsidR="00015B74" w:rsidRPr="00C62B29">
        <w:rPr>
          <w:rFonts w:ascii="Bookman Old Style" w:eastAsia="Cambria" w:hAnsi="Bookman Old Style" w:cs="Arial"/>
          <w:sz w:val="28"/>
          <w:szCs w:val="28"/>
        </w:rPr>
        <w:t>9</w:t>
      </w:r>
      <w:r w:rsidR="00AA6861" w:rsidRPr="00C62B29">
        <w:rPr>
          <w:rFonts w:ascii="Bookman Old Style" w:eastAsia="Cambria" w:hAnsi="Bookman Old Style" w:cs="Arial"/>
          <w:sz w:val="28"/>
          <w:szCs w:val="28"/>
        </w:rPr>
        <w:t xml:space="preserve"> </w:t>
      </w:r>
      <w:r w:rsidR="004F2E16" w:rsidRPr="00C62B29">
        <w:rPr>
          <w:rFonts w:ascii="Bookman Old Style" w:eastAsia="Cambria" w:hAnsi="Bookman Old Style" w:cs="Arial"/>
          <w:sz w:val="28"/>
          <w:szCs w:val="28"/>
        </w:rPr>
        <w:t>czerwca</w:t>
      </w:r>
      <w:r w:rsidR="00AA6861" w:rsidRPr="00C62B29">
        <w:rPr>
          <w:rFonts w:ascii="Bookman Old Style" w:eastAsia="Cambria" w:hAnsi="Bookman Old Style" w:cs="Arial"/>
          <w:sz w:val="28"/>
          <w:szCs w:val="28"/>
        </w:rPr>
        <w:t xml:space="preserve"> 202</w:t>
      </w:r>
      <w:r w:rsidR="004809F9" w:rsidRPr="00C62B29">
        <w:rPr>
          <w:rFonts w:ascii="Bookman Old Style" w:eastAsia="Cambria" w:hAnsi="Bookman Old Style" w:cs="Arial"/>
          <w:sz w:val="28"/>
          <w:szCs w:val="28"/>
        </w:rPr>
        <w:t>2</w:t>
      </w:r>
      <w:r w:rsidR="002B1826" w:rsidRPr="00C62B29">
        <w:rPr>
          <w:rFonts w:ascii="Bookman Old Style" w:eastAsia="Cambria" w:hAnsi="Bookman Old Style" w:cs="Arial"/>
          <w:sz w:val="28"/>
          <w:szCs w:val="28"/>
        </w:rPr>
        <w:t xml:space="preserve"> roku,</w:t>
      </w:r>
    </w:p>
    <w:p w14:paraId="5326934D" w14:textId="77777777" w:rsidR="00105123" w:rsidRPr="00C62B29" w:rsidRDefault="00105123" w:rsidP="001049D3">
      <w:pPr>
        <w:suppressAutoHyphens/>
        <w:jc w:val="center"/>
        <w:rPr>
          <w:rFonts w:ascii="Bookman Old Style" w:eastAsia="Cambria" w:hAnsi="Bookman Old Style" w:cs="Arial"/>
          <w:b/>
          <w:sz w:val="16"/>
          <w:szCs w:val="16"/>
        </w:rPr>
      </w:pPr>
    </w:p>
    <w:p w14:paraId="03DB3064" w14:textId="77777777" w:rsidR="00A97558" w:rsidRDefault="002B1826" w:rsidP="001049D3">
      <w:pPr>
        <w:suppressAutoHyphens/>
        <w:jc w:val="center"/>
        <w:rPr>
          <w:rFonts w:ascii="Bookman Old Style" w:eastAsia="Cambria" w:hAnsi="Bookman Old Style" w:cs="Arial"/>
          <w:b/>
          <w:i/>
          <w:sz w:val="28"/>
          <w:szCs w:val="28"/>
        </w:rPr>
      </w:pPr>
      <w:r w:rsidRPr="00C62B29">
        <w:rPr>
          <w:rFonts w:ascii="Bookman Old Style" w:eastAsia="Cambria" w:hAnsi="Bookman Old Style" w:cs="Arial"/>
          <w:b/>
          <w:sz w:val="28"/>
          <w:szCs w:val="28"/>
        </w:rPr>
        <w:t>w sprawie opinii dotyczącej projekt</w:t>
      </w:r>
      <w:r w:rsidR="00EA4AB5" w:rsidRPr="00C62B29">
        <w:rPr>
          <w:rFonts w:ascii="Bookman Old Style" w:eastAsia="Cambria" w:hAnsi="Bookman Old Style" w:cs="Arial"/>
          <w:b/>
          <w:sz w:val="28"/>
          <w:szCs w:val="28"/>
        </w:rPr>
        <w:t>u</w:t>
      </w:r>
      <w:r w:rsidRPr="00C62B29">
        <w:rPr>
          <w:rFonts w:ascii="Bookman Old Style" w:eastAsia="Cambria" w:hAnsi="Bookman Old Style" w:cs="Arial"/>
          <w:b/>
          <w:sz w:val="28"/>
          <w:szCs w:val="28"/>
        </w:rPr>
        <w:t xml:space="preserve"> </w:t>
      </w:r>
      <w:r w:rsidR="00627E2C" w:rsidRPr="00C62B29">
        <w:rPr>
          <w:rFonts w:ascii="Bookman Old Style" w:eastAsia="Cambria" w:hAnsi="Bookman Old Style" w:cs="Arial"/>
          <w:b/>
          <w:i/>
          <w:sz w:val="28"/>
          <w:szCs w:val="28"/>
        </w:rPr>
        <w:t>U</w:t>
      </w:r>
      <w:r w:rsidR="004809F9" w:rsidRPr="00C62B29">
        <w:rPr>
          <w:rFonts w:ascii="Bookman Old Style" w:eastAsia="Cambria" w:hAnsi="Bookman Old Style" w:cs="Arial"/>
          <w:b/>
          <w:i/>
          <w:sz w:val="28"/>
          <w:szCs w:val="28"/>
        </w:rPr>
        <w:t xml:space="preserve">stawy o zmianie ustawy – </w:t>
      </w:r>
      <w:r w:rsidR="004F2E16" w:rsidRPr="00C62B29">
        <w:rPr>
          <w:rFonts w:ascii="Bookman Old Style" w:eastAsia="Cambria" w:hAnsi="Bookman Old Style" w:cs="Arial"/>
          <w:b/>
          <w:i/>
          <w:sz w:val="28"/>
          <w:szCs w:val="28"/>
        </w:rPr>
        <w:t>Prawo o notariacie</w:t>
      </w:r>
      <w:r w:rsidR="00461B4F" w:rsidRPr="00C62B29">
        <w:rPr>
          <w:rFonts w:ascii="Bookman Old Style" w:eastAsia="Cambria" w:hAnsi="Bookman Old Style" w:cs="Arial"/>
          <w:b/>
          <w:i/>
          <w:sz w:val="28"/>
          <w:szCs w:val="28"/>
        </w:rPr>
        <w:t xml:space="preserve"> </w:t>
      </w:r>
      <w:r w:rsidR="004F2E16" w:rsidRPr="00C62B29">
        <w:rPr>
          <w:rFonts w:ascii="Bookman Old Style" w:eastAsia="Cambria" w:hAnsi="Bookman Old Style" w:cs="Arial"/>
          <w:b/>
          <w:i/>
          <w:sz w:val="28"/>
          <w:szCs w:val="28"/>
        </w:rPr>
        <w:t>i</w:t>
      </w:r>
      <w:r w:rsidR="004809F9" w:rsidRPr="00C62B29">
        <w:rPr>
          <w:rFonts w:ascii="Bookman Old Style" w:eastAsia="Cambria" w:hAnsi="Bookman Old Style" w:cs="Arial"/>
          <w:b/>
          <w:i/>
          <w:sz w:val="28"/>
          <w:szCs w:val="28"/>
        </w:rPr>
        <w:t xml:space="preserve"> niektórych innych ustaw </w:t>
      </w:r>
    </w:p>
    <w:p w14:paraId="09EDC8DE" w14:textId="5EE4A001" w:rsidR="004809F9" w:rsidRPr="00C62B29" w:rsidRDefault="00546310" w:rsidP="001049D3">
      <w:pPr>
        <w:suppressAutoHyphens/>
        <w:jc w:val="center"/>
        <w:rPr>
          <w:rFonts w:ascii="Bookman Old Style" w:eastAsia="Cambria" w:hAnsi="Bookman Old Style" w:cs="Arial"/>
          <w:b/>
          <w:i/>
          <w:sz w:val="28"/>
          <w:szCs w:val="28"/>
        </w:rPr>
      </w:pPr>
      <w:r w:rsidRPr="00C62B29">
        <w:rPr>
          <w:rFonts w:ascii="Bookman Old Style" w:eastAsia="Cambria" w:hAnsi="Bookman Old Style" w:cs="Arial"/>
          <w:b/>
          <w:i/>
          <w:sz w:val="28"/>
          <w:szCs w:val="28"/>
        </w:rPr>
        <w:t>(UD 383)</w:t>
      </w:r>
    </w:p>
    <w:p w14:paraId="71817706" w14:textId="75E4D324" w:rsidR="001049D3" w:rsidRDefault="001049D3" w:rsidP="001049D3">
      <w:pPr>
        <w:suppressAutoHyphens/>
        <w:spacing w:line="360" w:lineRule="auto"/>
        <w:jc w:val="center"/>
        <w:rPr>
          <w:rFonts w:ascii="Bookman Old Style" w:hAnsi="Bookman Old Style" w:cs="Arial"/>
        </w:rPr>
      </w:pPr>
    </w:p>
    <w:p w14:paraId="023FA29A" w14:textId="66B965C0" w:rsidR="002B1826" w:rsidRPr="00C62B29" w:rsidRDefault="002B1826" w:rsidP="001049D3">
      <w:pPr>
        <w:suppressAutoHyphens/>
        <w:spacing w:line="360" w:lineRule="auto"/>
        <w:jc w:val="center"/>
        <w:rPr>
          <w:rFonts w:ascii="Bookman Old Style" w:hAnsi="Bookman Old Style" w:cs="Arial"/>
        </w:rPr>
      </w:pPr>
      <w:r w:rsidRPr="00C62B29">
        <w:rPr>
          <w:rFonts w:ascii="Bookman Old Style" w:hAnsi="Bookman Old Style" w:cs="Arial"/>
        </w:rPr>
        <w:t>§1</w:t>
      </w:r>
    </w:p>
    <w:p w14:paraId="5E4D9907" w14:textId="77777777" w:rsidR="004F2E16" w:rsidRPr="00C62B29" w:rsidRDefault="004809F9" w:rsidP="001049D3">
      <w:pPr>
        <w:suppressAutoHyphens/>
        <w:spacing w:line="360" w:lineRule="auto"/>
        <w:jc w:val="both"/>
        <w:rPr>
          <w:rFonts w:ascii="Bookman Old Style" w:hAnsi="Bookman Old Style" w:cs="Arial"/>
          <w:spacing w:val="4"/>
        </w:rPr>
      </w:pPr>
      <w:r w:rsidRPr="00C62B29">
        <w:rPr>
          <w:rFonts w:ascii="Bookman Old Style" w:hAnsi="Bookman Old Style" w:cs="Arial"/>
          <w:spacing w:val="4"/>
        </w:rPr>
        <w:t xml:space="preserve">Zarząd Główny Stowarzyszenia Notariuszy RP w związku z otrzymanym </w:t>
      </w:r>
      <w:r w:rsidR="00847415" w:rsidRPr="00C62B29">
        <w:rPr>
          <w:rFonts w:ascii="Bookman Old Style" w:hAnsi="Bookman Old Style" w:cs="Arial"/>
          <w:spacing w:val="4"/>
        </w:rPr>
        <w:t xml:space="preserve">w dniu 26 maja 2022 roku, </w:t>
      </w:r>
      <w:r w:rsidRPr="00C62B29">
        <w:rPr>
          <w:rFonts w:ascii="Bookman Old Style" w:hAnsi="Bookman Old Style" w:cs="Arial"/>
          <w:spacing w:val="4"/>
        </w:rPr>
        <w:t xml:space="preserve">od Ministra Sprawiedliwości, pismem w sprawie wyrażenia opinii o projekcie </w:t>
      </w:r>
      <w:r w:rsidR="00847415" w:rsidRPr="00C62B29">
        <w:rPr>
          <w:rFonts w:ascii="Bookman Old Style" w:eastAsia="Cambria" w:hAnsi="Bookman Old Style" w:cs="Arial"/>
          <w:i/>
        </w:rPr>
        <w:t>U</w:t>
      </w:r>
      <w:r w:rsidR="003A718F" w:rsidRPr="00C62B29">
        <w:rPr>
          <w:rFonts w:ascii="Bookman Old Style" w:eastAsia="Cambria" w:hAnsi="Bookman Old Style" w:cs="Arial"/>
          <w:i/>
        </w:rPr>
        <w:t xml:space="preserve">stawy o zmianie ustawy – </w:t>
      </w:r>
      <w:r w:rsidR="004F2E16" w:rsidRPr="00C62B29">
        <w:rPr>
          <w:rFonts w:ascii="Bookman Old Style" w:eastAsia="Cambria" w:hAnsi="Bookman Old Style" w:cs="Arial"/>
          <w:i/>
        </w:rPr>
        <w:t>Prawo o notariacie</w:t>
      </w:r>
      <w:r w:rsidR="003A718F" w:rsidRPr="00C62B29">
        <w:rPr>
          <w:rFonts w:ascii="Bookman Old Style" w:eastAsia="Cambria" w:hAnsi="Bookman Old Style" w:cs="Arial"/>
          <w:i/>
        </w:rPr>
        <w:t xml:space="preserve"> </w:t>
      </w:r>
      <w:r w:rsidR="004F2E16" w:rsidRPr="00C62B29">
        <w:rPr>
          <w:rFonts w:ascii="Bookman Old Style" w:eastAsia="Cambria" w:hAnsi="Bookman Old Style" w:cs="Arial"/>
          <w:i/>
        </w:rPr>
        <w:t>i</w:t>
      </w:r>
      <w:r w:rsidR="003A718F" w:rsidRPr="00C62B29">
        <w:rPr>
          <w:rFonts w:ascii="Bookman Old Style" w:eastAsia="Cambria" w:hAnsi="Bookman Old Style" w:cs="Arial"/>
          <w:i/>
        </w:rPr>
        <w:t xml:space="preserve"> niektórych innych ustaw</w:t>
      </w:r>
      <w:r w:rsidR="003A718F" w:rsidRPr="00C62B29">
        <w:rPr>
          <w:rFonts w:ascii="Bookman Old Style" w:eastAsia="Cambria" w:hAnsi="Bookman Old Style" w:cs="Arial"/>
        </w:rPr>
        <w:t xml:space="preserve"> (wpisany do Wykazu prac legislacyjnych i programowych Rady Ministrów</w:t>
      </w:r>
      <w:r w:rsidR="003A718F" w:rsidRPr="00C62B29">
        <w:rPr>
          <w:rFonts w:ascii="Bookman Old Style" w:eastAsia="Cambria" w:hAnsi="Bookman Old Style" w:cs="Arial"/>
          <w:b/>
        </w:rPr>
        <w:t xml:space="preserve"> </w:t>
      </w:r>
      <w:r w:rsidR="003A718F" w:rsidRPr="00C62B29">
        <w:rPr>
          <w:rFonts w:ascii="Bookman Old Style" w:eastAsia="Cambria" w:hAnsi="Bookman Old Style" w:cs="Arial"/>
        </w:rPr>
        <w:t>pod numerem UD</w:t>
      </w:r>
      <w:r w:rsidR="004F2E16" w:rsidRPr="00C62B29">
        <w:rPr>
          <w:rFonts w:ascii="Bookman Old Style" w:eastAsia="Cambria" w:hAnsi="Bookman Old Style" w:cs="Arial"/>
        </w:rPr>
        <w:t>383</w:t>
      </w:r>
      <w:r w:rsidR="003A718F" w:rsidRPr="00C62B29">
        <w:rPr>
          <w:rFonts w:ascii="Bookman Old Style" w:eastAsia="Cambria" w:hAnsi="Bookman Old Style" w:cs="Arial"/>
        </w:rPr>
        <w:t>)</w:t>
      </w:r>
      <w:r w:rsidR="003A718F" w:rsidRPr="00C62B29">
        <w:rPr>
          <w:rFonts w:ascii="Bookman Old Style" w:hAnsi="Bookman Old Style"/>
          <w:spacing w:val="4"/>
        </w:rPr>
        <w:t xml:space="preserve"> </w:t>
      </w:r>
      <w:r w:rsidRPr="00C62B29">
        <w:rPr>
          <w:rFonts w:ascii="Bookman Old Style" w:hAnsi="Bookman Old Style" w:cs="Arial"/>
          <w:spacing w:val="4"/>
        </w:rPr>
        <w:t xml:space="preserve">- </w:t>
      </w:r>
      <w:r w:rsidRPr="00C62B29">
        <w:rPr>
          <w:rFonts w:ascii="Bookman Old Style" w:hAnsi="Bookman Old Style"/>
          <w:spacing w:val="4"/>
        </w:rPr>
        <w:t xml:space="preserve">dalej „Projekt” - </w:t>
      </w:r>
      <w:r w:rsidRPr="00C62B29">
        <w:rPr>
          <w:rFonts w:ascii="Bookman Old Style" w:hAnsi="Bookman Old Style" w:cs="Arial"/>
          <w:b/>
          <w:spacing w:val="4"/>
          <w:u w:val="single"/>
        </w:rPr>
        <w:t>postanawia</w:t>
      </w:r>
      <w:r w:rsidRPr="00C62B29">
        <w:rPr>
          <w:rFonts w:ascii="Bookman Old Style" w:hAnsi="Bookman Old Style" w:cs="Arial"/>
          <w:spacing w:val="4"/>
        </w:rPr>
        <w:t xml:space="preserve"> zgłosić poniższe uwagi do przesłanego Projektu</w:t>
      </w:r>
      <w:r w:rsidR="00BC56A4" w:rsidRPr="00C62B29">
        <w:rPr>
          <w:rFonts w:ascii="Bookman Old Style" w:hAnsi="Bookman Old Style" w:cs="Arial"/>
          <w:spacing w:val="4"/>
        </w:rPr>
        <w:t>:</w:t>
      </w:r>
      <w:r w:rsidR="003A718F" w:rsidRPr="00C62B29">
        <w:rPr>
          <w:rFonts w:ascii="Bookman Old Style" w:hAnsi="Bookman Old Style" w:cs="Arial"/>
          <w:spacing w:val="4"/>
        </w:rPr>
        <w:t xml:space="preserve"> </w:t>
      </w:r>
    </w:p>
    <w:p w14:paraId="61F48C64" w14:textId="77777777" w:rsidR="00FA323C" w:rsidRPr="00C62B29" w:rsidRDefault="00FA323C" w:rsidP="00FF3FF2">
      <w:pPr>
        <w:suppressAutoHyphens/>
        <w:jc w:val="both"/>
        <w:rPr>
          <w:rFonts w:ascii="Bookman Old Style" w:hAnsi="Bookman Old Style" w:cs="Arial"/>
          <w:spacing w:val="4"/>
        </w:rPr>
      </w:pPr>
    </w:p>
    <w:p w14:paraId="7DBAC9EA" w14:textId="77777777" w:rsidR="00A46C89" w:rsidRPr="00C62B29" w:rsidRDefault="00A46C89" w:rsidP="001049D3">
      <w:pPr>
        <w:suppressAutoHyphens/>
        <w:spacing w:line="360" w:lineRule="auto"/>
        <w:ind w:firstLine="567"/>
        <w:jc w:val="both"/>
        <w:rPr>
          <w:rFonts w:ascii="Bookman Old Style" w:hAnsi="Bookman Old Style" w:cs="Arial"/>
          <w:b/>
          <w:spacing w:val="4"/>
          <w:sz w:val="28"/>
          <w:szCs w:val="28"/>
        </w:rPr>
      </w:pPr>
      <w:r w:rsidRPr="00C62B29">
        <w:rPr>
          <w:rFonts w:ascii="Bookman Old Style" w:hAnsi="Bookman Old Style" w:cs="Arial"/>
          <w:b/>
          <w:spacing w:val="4"/>
          <w:sz w:val="28"/>
          <w:szCs w:val="28"/>
        </w:rPr>
        <w:t xml:space="preserve">Uwaga </w:t>
      </w:r>
      <w:r w:rsidR="00BC549F" w:rsidRPr="00C62B29">
        <w:rPr>
          <w:rFonts w:ascii="Bookman Old Style" w:hAnsi="Bookman Old Style" w:cs="Arial"/>
          <w:b/>
          <w:spacing w:val="4"/>
          <w:sz w:val="28"/>
          <w:szCs w:val="28"/>
        </w:rPr>
        <w:t>wstępna</w:t>
      </w:r>
    </w:p>
    <w:p w14:paraId="01E1244D" w14:textId="77777777" w:rsidR="00A46C89" w:rsidRPr="00C62B29" w:rsidRDefault="00A46C89" w:rsidP="001049D3">
      <w:pPr>
        <w:suppressAutoHyphens/>
        <w:spacing w:line="360" w:lineRule="auto"/>
        <w:ind w:firstLine="567"/>
        <w:jc w:val="both"/>
        <w:rPr>
          <w:rFonts w:ascii="Bookman Old Style" w:hAnsi="Bookman Old Style" w:cs="Arial"/>
          <w:spacing w:val="4"/>
        </w:rPr>
      </w:pPr>
      <w:r w:rsidRPr="00C62B29">
        <w:rPr>
          <w:rFonts w:ascii="Bookman Old Style" w:hAnsi="Bookman Old Style" w:cs="Arial"/>
          <w:spacing w:val="4"/>
        </w:rPr>
        <w:t xml:space="preserve">Projekt przewiduje wprowadzenie fundamentalnych zmian w ustroju polskiego notariatu, funkcjonowania systemu ksiąg wieczystych oraz </w:t>
      </w:r>
      <w:r w:rsidR="00847415" w:rsidRPr="00C62B29">
        <w:rPr>
          <w:rFonts w:ascii="Bookman Old Style" w:hAnsi="Bookman Old Style" w:cs="Arial"/>
          <w:spacing w:val="4"/>
        </w:rPr>
        <w:t xml:space="preserve">w </w:t>
      </w:r>
      <w:r w:rsidRPr="00C62B29">
        <w:rPr>
          <w:rFonts w:ascii="Bookman Old Style" w:hAnsi="Bookman Old Style" w:cs="Arial"/>
          <w:spacing w:val="4"/>
        </w:rPr>
        <w:t xml:space="preserve">procedurze cywilnej. Proponowane zmiany </w:t>
      </w:r>
      <w:r w:rsidR="00BC549F" w:rsidRPr="00C62B29">
        <w:rPr>
          <w:rFonts w:ascii="Bookman Old Style" w:hAnsi="Bookman Old Style" w:cs="Arial"/>
          <w:spacing w:val="4"/>
        </w:rPr>
        <w:t xml:space="preserve">– stanowiące w istocie gruntowną reformę notariatu i systemu ksiąg wieczystych - </w:t>
      </w:r>
      <w:r w:rsidRPr="00C62B29">
        <w:rPr>
          <w:rFonts w:ascii="Bookman Old Style" w:hAnsi="Bookman Old Style" w:cs="Arial"/>
          <w:spacing w:val="4"/>
        </w:rPr>
        <w:t xml:space="preserve">powinny być poddane wnikliwej analizie pod względem skutków </w:t>
      </w:r>
      <w:r w:rsidR="00BC549F" w:rsidRPr="00C62B29">
        <w:rPr>
          <w:rFonts w:ascii="Bookman Old Style" w:hAnsi="Bookman Old Style" w:cs="Arial"/>
          <w:spacing w:val="4"/>
        </w:rPr>
        <w:t>regulacji dla uczestników obrotu oraz zgodności z przepisami innych ustaw. Z tego względu nie powinny być procedowane w pośpiechu. Uwagi zawarte w niniejszej opinii, ze względu na zbyt krótki czas wyznaczony przez Projektodawcę na złożenie opinii, z pewnością nie wyczerpują całości problematyki proponowanych zmian.</w:t>
      </w:r>
    </w:p>
    <w:p w14:paraId="353A4F0D" w14:textId="77777777" w:rsidR="00A46C89" w:rsidRPr="00C62B29" w:rsidRDefault="00A46C89" w:rsidP="00FF3FF2">
      <w:pPr>
        <w:suppressAutoHyphens/>
        <w:jc w:val="both"/>
        <w:rPr>
          <w:rFonts w:ascii="Bookman Old Style" w:hAnsi="Bookman Old Style" w:cs="Arial"/>
          <w:spacing w:val="4"/>
        </w:rPr>
      </w:pPr>
    </w:p>
    <w:p w14:paraId="18F77E98" w14:textId="77777777" w:rsidR="004F2E16" w:rsidRPr="00C62B29" w:rsidRDefault="004E0C31" w:rsidP="001049D3">
      <w:pPr>
        <w:numPr>
          <w:ilvl w:val="0"/>
          <w:numId w:val="5"/>
        </w:numPr>
        <w:suppressAutoHyphens/>
        <w:spacing w:line="360" w:lineRule="auto"/>
        <w:ind w:left="426" w:hanging="349"/>
        <w:jc w:val="both"/>
        <w:rPr>
          <w:rFonts w:ascii="Bookman Old Style" w:hAnsi="Bookman Old Style" w:cs="Arial"/>
          <w:b/>
          <w:spacing w:val="4"/>
          <w:sz w:val="28"/>
          <w:szCs w:val="28"/>
        </w:rPr>
      </w:pPr>
      <w:r w:rsidRPr="00C62B29">
        <w:rPr>
          <w:rFonts w:ascii="Bookman Old Style" w:hAnsi="Bookman Old Style" w:cs="Arial"/>
          <w:b/>
          <w:spacing w:val="4"/>
          <w:sz w:val="28"/>
          <w:szCs w:val="28"/>
        </w:rPr>
        <w:t xml:space="preserve">odnośnie art. 1 pkt 1 </w:t>
      </w:r>
      <w:r w:rsidR="008F4C3D" w:rsidRPr="00C62B29">
        <w:rPr>
          <w:rFonts w:ascii="Bookman Old Style" w:hAnsi="Bookman Old Style" w:cs="Arial"/>
          <w:b/>
          <w:spacing w:val="4"/>
          <w:sz w:val="28"/>
          <w:szCs w:val="28"/>
        </w:rPr>
        <w:t xml:space="preserve">i 2 </w:t>
      </w:r>
      <w:r w:rsidRPr="00C62B29">
        <w:rPr>
          <w:rFonts w:ascii="Bookman Old Style" w:hAnsi="Bookman Old Style" w:cs="Arial"/>
          <w:b/>
          <w:spacing w:val="4"/>
          <w:sz w:val="28"/>
          <w:szCs w:val="28"/>
        </w:rPr>
        <w:t>Projektu</w:t>
      </w:r>
    </w:p>
    <w:p w14:paraId="69C041AB" w14:textId="501FD8F3" w:rsidR="00715D0D" w:rsidRPr="00C62B29" w:rsidRDefault="004E0C31" w:rsidP="001049D3">
      <w:pPr>
        <w:suppressAutoHyphens/>
        <w:spacing w:line="360" w:lineRule="auto"/>
        <w:ind w:firstLine="567"/>
        <w:jc w:val="both"/>
        <w:rPr>
          <w:rFonts w:ascii="Bookman Old Style" w:hAnsi="Bookman Old Style" w:cs="Arial"/>
          <w:spacing w:val="4"/>
        </w:rPr>
      </w:pPr>
      <w:r w:rsidRPr="00C62B29">
        <w:rPr>
          <w:rFonts w:ascii="Bookman Old Style" w:hAnsi="Bookman Old Style" w:cs="Arial"/>
          <w:spacing w:val="4"/>
        </w:rPr>
        <w:t xml:space="preserve">Projekt przewiduje rozróżnienie pomiędzy czynnościami notarialnymi a czynnościami z zakresu ochrony prawnej, wskazując zarazem </w:t>
      </w:r>
      <w:r w:rsidRPr="00C62B29">
        <w:rPr>
          <w:rFonts w:ascii="Bookman Old Style" w:hAnsi="Bookman Old Style" w:cs="Arial"/>
          <w:i/>
          <w:spacing w:val="4"/>
        </w:rPr>
        <w:t>expressis verbis</w:t>
      </w:r>
      <w:r w:rsidRPr="00C62B29">
        <w:rPr>
          <w:rFonts w:ascii="Bookman Old Style" w:hAnsi="Bookman Old Style" w:cs="Arial"/>
          <w:spacing w:val="4"/>
        </w:rPr>
        <w:t xml:space="preserve">, że czynnościami z zakresu ochrony prawnej są: rozpoznawanie wniosków o wpis w księdze wieczystej (projektowany art. 79. pkt 1d </w:t>
      </w:r>
      <w:r w:rsidR="00847415" w:rsidRPr="00C62B29">
        <w:rPr>
          <w:rFonts w:ascii="Bookman Old Style" w:hAnsi="Bookman Old Style" w:cs="Arial"/>
          <w:spacing w:val="4"/>
        </w:rPr>
        <w:t xml:space="preserve">ustawy </w:t>
      </w:r>
      <w:r w:rsidR="002D7DA2">
        <w:rPr>
          <w:rFonts w:ascii="Bookman Old Style" w:hAnsi="Bookman Old Style" w:cs="Arial"/>
          <w:spacing w:val="4"/>
        </w:rPr>
        <w:lastRenderedPageBreak/>
        <w:t xml:space="preserve">- </w:t>
      </w:r>
      <w:r w:rsidR="00847415" w:rsidRPr="00C62B29">
        <w:rPr>
          <w:rFonts w:ascii="Bookman Old Style" w:hAnsi="Bookman Old Style" w:cs="Arial"/>
          <w:spacing w:val="4"/>
        </w:rPr>
        <w:t>Prawo o notariacie [dalej „</w:t>
      </w:r>
      <w:r w:rsidRPr="00C62B29">
        <w:rPr>
          <w:rFonts w:ascii="Bookman Old Style" w:hAnsi="Bookman Old Style" w:cs="Arial"/>
          <w:spacing w:val="4"/>
        </w:rPr>
        <w:t>pr.not.</w:t>
      </w:r>
      <w:r w:rsidR="00847415" w:rsidRPr="00C62B29">
        <w:rPr>
          <w:rFonts w:ascii="Bookman Old Style" w:hAnsi="Bookman Old Style" w:cs="Arial"/>
          <w:spacing w:val="4"/>
        </w:rPr>
        <w:t>”]</w:t>
      </w:r>
      <w:r w:rsidRPr="00C62B29">
        <w:rPr>
          <w:rFonts w:ascii="Bookman Old Style" w:hAnsi="Bookman Old Style" w:cs="Arial"/>
          <w:spacing w:val="4"/>
        </w:rPr>
        <w:t xml:space="preserve">) oraz notarialne nakazy zapłaty (projektowany art. 79. pkt 5a pr.not.). Rozróżnienie to jest </w:t>
      </w:r>
      <w:r w:rsidR="00F804F1" w:rsidRPr="00C62B29">
        <w:rPr>
          <w:rFonts w:ascii="Bookman Old Style" w:hAnsi="Bookman Old Style" w:cs="Arial"/>
          <w:spacing w:val="4"/>
        </w:rPr>
        <w:t>błędne,</w:t>
      </w:r>
      <w:r w:rsidRPr="00C62B29">
        <w:rPr>
          <w:rFonts w:ascii="Bookman Old Style" w:hAnsi="Bookman Old Style" w:cs="Arial"/>
          <w:spacing w:val="4"/>
        </w:rPr>
        <w:t xml:space="preserve"> gdyż czynność notarialna może być zarazem czynnością z zakresu szeroko pojętej ochrony prawnej. W </w:t>
      </w:r>
      <w:r w:rsidR="005F1088" w:rsidRPr="00C62B29">
        <w:rPr>
          <w:rFonts w:ascii="Bookman Old Style" w:hAnsi="Bookman Old Style" w:cs="Arial"/>
          <w:spacing w:val="4"/>
        </w:rPr>
        <w:t>obecnym</w:t>
      </w:r>
      <w:r w:rsidRPr="00C62B29">
        <w:rPr>
          <w:rFonts w:ascii="Bookman Old Style" w:hAnsi="Bookman Old Style" w:cs="Arial"/>
          <w:spacing w:val="4"/>
        </w:rPr>
        <w:t xml:space="preserve"> </w:t>
      </w:r>
      <w:r w:rsidR="00715D0D" w:rsidRPr="00C62B29">
        <w:rPr>
          <w:rFonts w:ascii="Bookman Old Style" w:hAnsi="Bookman Old Style" w:cs="Arial"/>
          <w:spacing w:val="4"/>
        </w:rPr>
        <w:t>stanie prawnym notariusze posiada</w:t>
      </w:r>
      <w:r w:rsidR="005F1088" w:rsidRPr="00C62B29">
        <w:rPr>
          <w:rFonts w:ascii="Bookman Old Style" w:hAnsi="Bookman Old Style" w:cs="Arial"/>
          <w:spacing w:val="4"/>
        </w:rPr>
        <w:t>ją</w:t>
      </w:r>
      <w:r w:rsidR="00715D0D" w:rsidRPr="00C62B29">
        <w:rPr>
          <w:rFonts w:ascii="Bookman Old Style" w:hAnsi="Bookman Old Style" w:cs="Arial"/>
          <w:spacing w:val="4"/>
        </w:rPr>
        <w:t xml:space="preserve"> kompetencję do wydawania aktów poświadczenia dziedziczenia (art. 79 pkt 1a pr. not</w:t>
      </w:r>
      <w:r w:rsidR="0031699A" w:rsidRPr="00C62B29">
        <w:rPr>
          <w:rFonts w:ascii="Bookman Old Style" w:hAnsi="Bookman Old Style" w:cs="Arial"/>
          <w:spacing w:val="4"/>
        </w:rPr>
        <w:t>.</w:t>
      </w:r>
      <w:r w:rsidR="00715D0D" w:rsidRPr="00C62B29">
        <w:rPr>
          <w:rFonts w:ascii="Bookman Old Style" w:hAnsi="Bookman Old Style" w:cs="Arial"/>
          <w:spacing w:val="4"/>
        </w:rPr>
        <w:t>)</w:t>
      </w:r>
      <w:r w:rsidR="005F1088" w:rsidRPr="00C62B29">
        <w:rPr>
          <w:rFonts w:ascii="Bookman Old Style" w:hAnsi="Bookman Old Style" w:cs="Arial"/>
          <w:spacing w:val="4"/>
        </w:rPr>
        <w:t xml:space="preserve"> i</w:t>
      </w:r>
      <w:r w:rsidR="00715D0D" w:rsidRPr="00C62B29">
        <w:rPr>
          <w:rFonts w:ascii="Bookman Old Style" w:hAnsi="Bookman Old Style" w:cs="Arial"/>
          <w:spacing w:val="4"/>
        </w:rPr>
        <w:t xml:space="preserve"> podejmowania czynności dotyczących europejskiego poświadczenia dziedziczenia (art. 79 pkt 1b pr.not.)</w:t>
      </w:r>
      <w:r w:rsidRPr="00C62B29">
        <w:rPr>
          <w:rFonts w:ascii="Bookman Old Style" w:hAnsi="Bookman Old Style" w:cs="Arial"/>
          <w:spacing w:val="4"/>
        </w:rPr>
        <w:t xml:space="preserve">. </w:t>
      </w:r>
      <w:r w:rsidR="00715D0D" w:rsidRPr="00C62B29">
        <w:rPr>
          <w:rFonts w:ascii="Bookman Old Style" w:hAnsi="Bookman Old Style" w:cs="Arial"/>
          <w:spacing w:val="4"/>
        </w:rPr>
        <w:t xml:space="preserve">Nie może ulegać najmniejszej wątpliwości, że te czynności notarialne mieszczą się w zakresie pojęcia czynności z zakresu ochrony prawnej. </w:t>
      </w:r>
    </w:p>
    <w:p w14:paraId="0FA41CA8" w14:textId="36492652" w:rsidR="004F2E16" w:rsidRPr="00C62B29" w:rsidRDefault="004E0C31" w:rsidP="001049D3">
      <w:pPr>
        <w:suppressAutoHyphens/>
        <w:spacing w:line="360" w:lineRule="auto"/>
        <w:ind w:firstLine="567"/>
        <w:jc w:val="both"/>
        <w:rPr>
          <w:rFonts w:ascii="Bookman Old Style" w:hAnsi="Bookman Old Style"/>
        </w:rPr>
      </w:pPr>
      <w:r w:rsidRPr="00C62B29">
        <w:rPr>
          <w:rFonts w:ascii="Bookman Old Style" w:hAnsi="Bookman Old Style" w:cs="Arial"/>
          <w:spacing w:val="4"/>
        </w:rPr>
        <w:t xml:space="preserve">Dotychczas </w:t>
      </w:r>
      <w:r w:rsidR="00715D0D" w:rsidRPr="00C62B29">
        <w:rPr>
          <w:rFonts w:ascii="Bookman Old Style" w:hAnsi="Bookman Old Style"/>
        </w:rPr>
        <w:t>w literaturze przedmiotu notariusze określani byli mianem „sędziów braku sporu”</w:t>
      </w:r>
      <w:r w:rsidR="00715D0D" w:rsidRPr="00C62B29">
        <w:rPr>
          <w:rStyle w:val="Odwoanieprzypisudolnego"/>
          <w:rFonts w:ascii="Bookman Old Style" w:hAnsi="Bookman Old Style"/>
        </w:rPr>
        <w:footnoteReference w:id="1"/>
      </w:r>
      <w:r w:rsidR="00715D0D" w:rsidRPr="00C62B29">
        <w:rPr>
          <w:rFonts w:ascii="Bookman Old Style" w:hAnsi="Bookman Old Style"/>
        </w:rPr>
        <w:t xml:space="preserve">. </w:t>
      </w:r>
      <w:r w:rsidR="00836CC1" w:rsidRPr="00C62B29">
        <w:rPr>
          <w:rFonts w:ascii="Bookman Old Style" w:hAnsi="Bookman Old Style"/>
        </w:rPr>
        <w:t xml:space="preserve">Warunkiem wydania aktu </w:t>
      </w:r>
      <w:r w:rsidR="005F1088" w:rsidRPr="00C62B29">
        <w:rPr>
          <w:rFonts w:ascii="Bookman Old Style" w:hAnsi="Bookman Old Style"/>
        </w:rPr>
        <w:t>poświadczenia</w:t>
      </w:r>
      <w:r w:rsidR="00836CC1" w:rsidRPr="00C62B29">
        <w:rPr>
          <w:rFonts w:ascii="Bookman Old Style" w:hAnsi="Bookman Old Style"/>
        </w:rPr>
        <w:t xml:space="preserve"> dziedziczenia jest całkowity brak sporu pomiędzy osobami zainteresowanymi w rozumieniu art. 95aa pr.not. Przy wydawaniu aktu powołania zarządcy sukcesyjnego i aktu odwołania zarządcy sukcesyjnego</w:t>
      </w:r>
      <w:r w:rsidR="00B22BEB" w:rsidRPr="00C62B29">
        <w:rPr>
          <w:rFonts w:ascii="Bookman Old Style" w:hAnsi="Bookman Old Style"/>
        </w:rPr>
        <w:t>,</w:t>
      </w:r>
      <w:r w:rsidR="00836CC1" w:rsidRPr="00C62B29">
        <w:rPr>
          <w:rFonts w:ascii="Bookman Old Style" w:hAnsi="Bookman Old Style"/>
        </w:rPr>
        <w:t xml:space="preserve"> zgo</w:t>
      </w:r>
      <w:r w:rsidR="00373C5B" w:rsidRPr="00C62B29">
        <w:rPr>
          <w:rFonts w:ascii="Bookman Old Style" w:hAnsi="Bookman Old Style"/>
        </w:rPr>
        <w:t>d</w:t>
      </w:r>
      <w:r w:rsidR="00836CC1" w:rsidRPr="00C62B29">
        <w:rPr>
          <w:rFonts w:ascii="Bookman Old Style" w:hAnsi="Bookman Old Style"/>
        </w:rPr>
        <w:t xml:space="preserve">nie z przepisami ustawy z dnia 5 lipca 2018 roku </w:t>
      </w:r>
      <w:r w:rsidR="0031699A" w:rsidRPr="00C62B29">
        <w:rPr>
          <w:rFonts w:ascii="Bookman Old Style" w:hAnsi="Bookman Old Style"/>
        </w:rPr>
        <w:t>o</w:t>
      </w:r>
      <w:r w:rsidR="00836CC1" w:rsidRPr="00C62B29">
        <w:rPr>
          <w:rFonts w:ascii="Bookman Old Style" w:hAnsi="Bookman Old Style"/>
        </w:rPr>
        <w:t xml:space="preserve"> zarządzie sukcesyjnym przedsiębiorstwem osoby fizycznej i innych ułatwieniach związanych z sukcesją przedsiębiorstw (</w:t>
      </w:r>
      <w:r w:rsidR="00B00CBB" w:rsidRPr="00C62B29">
        <w:t>tekst jednolity Dz.U. z 2021r. poz. 170</w:t>
      </w:r>
      <w:r w:rsidR="00836CC1" w:rsidRPr="00C62B29">
        <w:rPr>
          <w:rFonts w:ascii="Bookman Old Style" w:hAnsi="Bookman Old Style"/>
        </w:rPr>
        <w:t>)</w:t>
      </w:r>
      <w:r w:rsidR="00B22BEB" w:rsidRPr="00C62B29">
        <w:rPr>
          <w:rFonts w:ascii="Bookman Old Style" w:hAnsi="Bookman Old Style"/>
        </w:rPr>
        <w:t>,</w:t>
      </w:r>
      <w:r w:rsidR="00836CC1" w:rsidRPr="00C62B29">
        <w:rPr>
          <w:rFonts w:ascii="Bookman Old Style" w:hAnsi="Bookman Old Style"/>
        </w:rPr>
        <w:t xml:space="preserve"> bezsporność nie jest warunkiem koniecznym, decydująca jest zgoda wymaganej przepisem większości osób, którym przypada udział w przedsiębiorstwie w spadku. W tym kontekście przy powoływaniu i odwoływaniu zarządcy sukcesyjnego notariusz pełni </w:t>
      </w:r>
      <w:r w:rsidR="00836CC1" w:rsidRPr="00C62B29">
        <w:rPr>
          <w:rFonts w:ascii="Bookman Old Style" w:hAnsi="Bookman Old Style"/>
          <w:i/>
        </w:rPr>
        <w:t>sui generis</w:t>
      </w:r>
      <w:r w:rsidR="00836CC1" w:rsidRPr="00C62B29">
        <w:rPr>
          <w:rFonts w:ascii="Bookman Old Style" w:hAnsi="Bookman Old Style"/>
        </w:rPr>
        <w:t xml:space="preserve"> funkcję orzeczniczą i w pewnym określonym ustawowo zakresie staje się sędzią ewentualnego sporu. </w:t>
      </w:r>
      <w:r w:rsidR="00373C5B" w:rsidRPr="00C62B29">
        <w:rPr>
          <w:rFonts w:ascii="Bookman Old Style" w:hAnsi="Bookman Old Style"/>
        </w:rPr>
        <w:t>Tym samym dokonuje czynności z zakresu szeroko pojętej ochrony prawnej.</w:t>
      </w:r>
    </w:p>
    <w:p w14:paraId="25EC2336" w14:textId="015E74E2" w:rsidR="00BC549F" w:rsidRPr="00C62B29" w:rsidRDefault="00373C5B" w:rsidP="001049D3">
      <w:pPr>
        <w:shd w:val="clear" w:color="auto" w:fill="FFFFFF"/>
        <w:suppressAutoHyphens/>
        <w:spacing w:line="360" w:lineRule="auto"/>
        <w:ind w:firstLine="567"/>
        <w:jc w:val="both"/>
        <w:rPr>
          <w:rFonts w:ascii="Bookman Old Style" w:eastAsia="Times New Roman" w:hAnsi="Bookman Old Style" w:cs="Calibri"/>
          <w:lang w:eastAsia="pl-PL"/>
        </w:rPr>
      </w:pPr>
      <w:r w:rsidRPr="00C62B29">
        <w:rPr>
          <w:rFonts w:ascii="Bookman Old Style" w:hAnsi="Bookman Old Style"/>
        </w:rPr>
        <w:t xml:space="preserve">Z powyższych względów przyjęte </w:t>
      </w:r>
      <w:r w:rsidR="00A46C89" w:rsidRPr="00C62B29">
        <w:rPr>
          <w:rFonts w:ascii="Bookman Old Style" w:hAnsi="Bookman Old Style"/>
        </w:rPr>
        <w:t>w</w:t>
      </w:r>
      <w:r w:rsidRPr="00C62B29">
        <w:rPr>
          <w:rFonts w:ascii="Bookman Old Style" w:hAnsi="Bookman Old Style"/>
        </w:rPr>
        <w:t xml:space="preserve"> Projekcie rozróżnienie na czynności notarialne i czynności z zakresu ochrony prawnej </w:t>
      </w:r>
      <w:r w:rsidR="00B22BEB" w:rsidRPr="00C62B29">
        <w:rPr>
          <w:rFonts w:ascii="Bookman Old Style" w:hAnsi="Bookman Old Style"/>
        </w:rPr>
        <w:t>wydaje się nie mieć uzasadnienia</w:t>
      </w:r>
      <w:r w:rsidRPr="00C62B29">
        <w:rPr>
          <w:rFonts w:ascii="Bookman Old Style" w:hAnsi="Bookman Old Style"/>
        </w:rPr>
        <w:t>.</w:t>
      </w:r>
      <w:r w:rsidR="00B00CBB" w:rsidRPr="00C62B29">
        <w:rPr>
          <w:rFonts w:ascii="Bookman Old Style" w:hAnsi="Bookman Old Style"/>
        </w:rPr>
        <w:t xml:space="preserve"> </w:t>
      </w:r>
      <w:r w:rsidR="00087D26" w:rsidRPr="00C62B29">
        <w:rPr>
          <w:rFonts w:ascii="Bookman Old Style" w:hAnsi="Bookman Old Style"/>
          <w:b/>
        </w:rPr>
        <w:t>Należy z całą mocą podkreślić, że k</w:t>
      </w:r>
      <w:r w:rsidR="00B00CBB" w:rsidRPr="00C62B29">
        <w:rPr>
          <w:rFonts w:ascii="Bookman Old Style" w:hAnsi="Bookman Old Style"/>
          <w:b/>
        </w:rPr>
        <w:t>ażda czynność notarialna dok</w:t>
      </w:r>
      <w:r w:rsidR="00087D26" w:rsidRPr="00C62B29">
        <w:rPr>
          <w:rFonts w:ascii="Bookman Old Style" w:hAnsi="Bookman Old Style"/>
          <w:b/>
        </w:rPr>
        <w:t>o</w:t>
      </w:r>
      <w:r w:rsidR="00B00CBB" w:rsidRPr="00C62B29">
        <w:rPr>
          <w:rFonts w:ascii="Bookman Old Style" w:hAnsi="Bookman Old Style"/>
          <w:b/>
        </w:rPr>
        <w:t>nywana przez notariusza jako osobę zaufania publicznego jest czynności</w:t>
      </w:r>
      <w:r w:rsidR="00087D26" w:rsidRPr="00C62B29">
        <w:rPr>
          <w:rFonts w:ascii="Bookman Old Style" w:hAnsi="Bookman Old Style"/>
          <w:b/>
        </w:rPr>
        <w:t>ą</w:t>
      </w:r>
      <w:r w:rsidR="00B00CBB" w:rsidRPr="00C62B29">
        <w:rPr>
          <w:rFonts w:ascii="Bookman Old Style" w:hAnsi="Bookman Old Style"/>
          <w:b/>
        </w:rPr>
        <w:t xml:space="preserve"> z zakresu szeroko rozumianej ochrony</w:t>
      </w:r>
      <w:r w:rsidR="00B00CBB" w:rsidRPr="00C62B29">
        <w:rPr>
          <w:rFonts w:ascii="Bookman Old Style" w:hAnsi="Bookman Old Style"/>
        </w:rPr>
        <w:t xml:space="preserve"> </w:t>
      </w:r>
      <w:r w:rsidR="00087D26" w:rsidRPr="00C62B29">
        <w:rPr>
          <w:rFonts w:ascii="Bookman Old Style" w:hAnsi="Bookman Old Style"/>
          <w:b/>
        </w:rPr>
        <w:t>prawnej</w:t>
      </w:r>
      <w:r w:rsidR="00087D26" w:rsidRPr="00C62B29">
        <w:rPr>
          <w:rFonts w:ascii="Bookman Old Style" w:hAnsi="Bookman Old Style"/>
        </w:rPr>
        <w:t>.</w:t>
      </w:r>
      <w:r w:rsidR="001C3BC2" w:rsidRPr="00C62B29">
        <w:rPr>
          <w:rFonts w:ascii="Bookman Old Style" w:hAnsi="Bookman Old Style"/>
        </w:rPr>
        <w:t xml:space="preserve"> </w:t>
      </w:r>
      <w:r w:rsidR="00BC549F" w:rsidRPr="00C62B29">
        <w:rPr>
          <w:rFonts w:ascii="Bookman Old Style" w:eastAsia="Times New Roman" w:hAnsi="Bookman Old Style" w:cs="Calibri"/>
          <w:lang w:eastAsia="pl-PL"/>
        </w:rPr>
        <w:t>W konsekwencji również uzasadnianie zmian w zasadach nadzoru nad notariatem</w:t>
      </w:r>
      <w:r w:rsidR="0031699A" w:rsidRPr="00C62B29">
        <w:rPr>
          <w:rFonts w:ascii="Bookman Old Style" w:eastAsia="Times New Roman" w:hAnsi="Bookman Old Style" w:cs="Calibri"/>
          <w:lang w:eastAsia="pl-PL"/>
        </w:rPr>
        <w:t>,</w:t>
      </w:r>
      <w:r w:rsidR="00BC549F" w:rsidRPr="00C62B29">
        <w:rPr>
          <w:rFonts w:ascii="Bookman Old Style" w:eastAsia="Times New Roman" w:hAnsi="Bookman Old Style" w:cs="Calibri"/>
          <w:lang w:eastAsia="pl-PL"/>
        </w:rPr>
        <w:t xml:space="preserve"> przyznani</w:t>
      </w:r>
      <w:r w:rsidR="0031699A" w:rsidRPr="00C62B29">
        <w:rPr>
          <w:rFonts w:ascii="Bookman Old Style" w:eastAsia="Times New Roman" w:hAnsi="Bookman Old Style" w:cs="Calibri"/>
          <w:lang w:eastAsia="pl-PL"/>
        </w:rPr>
        <w:t>a</w:t>
      </w:r>
      <w:r w:rsidR="00BC549F" w:rsidRPr="00C62B29">
        <w:rPr>
          <w:rFonts w:ascii="Bookman Old Style" w:eastAsia="Times New Roman" w:hAnsi="Bookman Old Style" w:cs="Calibri"/>
          <w:lang w:eastAsia="pl-PL"/>
        </w:rPr>
        <w:t xml:space="preserve"> notariuszom nowych zadań w postaci wpisów do ksiąg wieczystych i wydawani</w:t>
      </w:r>
      <w:r w:rsidR="0031699A" w:rsidRPr="00C62B29">
        <w:rPr>
          <w:rFonts w:ascii="Bookman Old Style" w:eastAsia="Times New Roman" w:hAnsi="Bookman Old Style" w:cs="Calibri"/>
          <w:lang w:eastAsia="pl-PL"/>
        </w:rPr>
        <w:t>a</w:t>
      </w:r>
      <w:r w:rsidR="00BC549F" w:rsidRPr="00C62B29">
        <w:rPr>
          <w:rFonts w:ascii="Bookman Old Style" w:eastAsia="Times New Roman" w:hAnsi="Bookman Old Style" w:cs="Calibri"/>
          <w:lang w:eastAsia="pl-PL"/>
        </w:rPr>
        <w:t xml:space="preserve"> notarialnych nakazów</w:t>
      </w:r>
      <w:r w:rsidR="00E400B5" w:rsidRPr="00C62B29">
        <w:rPr>
          <w:rStyle w:val="Odwoanieprzypisudolnego"/>
          <w:rFonts w:ascii="Bookman Old Style" w:eastAsia="Times New Roman" w:hAnsi="Bookman Old Style" w:cs="Calibri"/>
          <w:lang w:eastAsia="pl-PL"/>
        </w:rPr>
        <w:footnoteReference w:id="2"/>
      </w:r>
      <w:r w:rsidR="00BC549F" w:rsidRPr="00C62B29">
        <w:rPr>
          <w:rFonts w:ascii="Bookman Old Style" w:eastAsia="Times New Roman" w:hAnsi="Bookman Old Style" w:cs="Calibri"/>
          <w:lang w:eastAsia="pl-PL"/>
        </w:rPr>
        <w:t xml:space="preserve"> zapłaty jest błędne</w:t>
      </w:r>
      <w:r w:rsidR="00E400B5" w:rsidRPr="00C62B29">
        <w:rPr>
          <w:rFonts w:ascii="Bookman Old Style" w:eastAsia="Times New Roman" w:hAnsi="Bookman Old Style" w:cs="Calibri"/>
          <w:lang w:eastAsia="pl-PL"/>
        </w:rPr>
        <w:t xml:space="preserve">. Wprowadzenie dodatkowej kompetencji notariusza w postaci wpisów do ksiąg </w:t>
      </w:r>
      <w:r w:rsidR="00E400B5" w:rsidRPr="00C62B29">
        <w:rPr>
          <w:rFonts w:ascii="Bookman Old Style" w:eastAsia="Times New Roman" w:hAnsi="Bookman Old Style" w:cs="Calibri"/>
          <w:lang w:eastAsia="pl-PL"/>
        </w:rPr>
        <w:lastRenderedPageBreak/>
        <w:t>wieczystych i wydawania notarialnych nakazów zapłaty nic nie zmienia w pozycji ustrojowej notariusza</w:t>
      </w:r>
      <w:r w:rsidR="00B22BEB" w:rsidRPr="00C62B29">
        <w:rPr>
          <w:rFonts w:ascii="Bookman Old Style" w:eastAsia="Times New Roman" w:hAnsi="Bookman Old Style" w:cs="Calibri"/>
          <w:lang w:eastAsia="pl-PL"/>
        </w:rPr>
        <w:t>.</w:t>
      </w:r>
    </w:p>
    <w:p w14:paraId="6F0FA1B6" w14:textId="62D08A96" w:rsidR="008F4C3D" w:rsidRPr="00C62B29" w:rsidRDefault="001C3BC2" w:rsidP="001049D3">
      <w:pPr>
        <w:shd w:val="clear" w:color="auto" w:fill="FFFFFF"/>
        <w:suppressAutoHyphens/>
        <w:spacing w:line="360" w:lineRule="auto"/>
        <w:ind w:firstLine="567"/>
        <w:jc w:val="both"/>
        <w:rPr>
          <w:rFonts w:ascii="Bookman Old Style" w:eastAsia="Times New Roman" w:hAnsi="Bookman Old Style" w:cs="Calibri"/>
          <w:lang w:eastAsia="pl-PL"/>
        </w:rPr>
      </w:pPr>
      <w:r w:rsidRPr="00C62B29">
        <w:rPr>
          <w:rFonts w:ascii="Bookman Old Style" w:eastAsia="Times New Roman" w:hAnsi="Bookman Old Style" w:cs="Calibri"/>
          <w:lang w:eastAsia="pl-PL"/>
        </w:rPr>
        <w:t>Zaufanie do notariusza leży u podstaw dokonywania wszystkich czynności notarialnych. Wiarygodność notariusza jest jednym z podstawowych założeń funkcjonowania notariatu łacińskiego</w:t>
      </w:r>
      <w:r w:rsidRPr="00C62B29">
        <w:rPr>
          <w:rStyle w:val="Odwoanieprzypisudolnego"/>
          <w:rFonts w:ascii="Bookman Old Style" w:eastAsia="Times New Roman" w:hAnsi="Bookman Old Style" w:cs="Calibri"/>
          <w:lang w:eastAsia="pl-PL"/>
        </w:rPr>
        <w:footnoteReference w:id="3"/>
      </w:r>
      <w:r w:rsidRPr="00C62B29">
        <w:rPr>
          <w:rFonts w:ascii="Bookman Old Style" w:eastAsia="Times New Roman" w:hAnsi="Bookman Old Style" w:cs="Calibri"/>
          <w:lang w:eastAsia="pl-PL"/>
        </w:rPr>
        <w:t xml:space="preserve">. </w:t>
      </w:r>
      <w:r w:rsidR="008F4C3D" w:rsidRPr="00C62B29">
        <w:rPr>
          <w:rFonts w:ascii="Bookman Old Style" w:eastAsia="Times New Roman" w:hAnsi="Bookman Old Style" w:cs="Calibri"/>
          <w:lang w:eastAsia="pl-PL"/>
        </w:rPr>
        <w:t xml:space="preserve">Wyraża to </w:t>
      </w:r>
      <w:r w:rsidR="00AF2FE0" w:rsidRPr="00C62B29">
        <w:rPr>
          <w:rFonts w:ascii="Bookman Old Style" w:eastAsia="Times New Roman" w:hAnsi="Bookman Old Style" w:cs="Calibri"/>
          <w:lang w:eastAsia="pl-PL"/>
        </w:rPr>
        <w:t xml:space="preserve">też </w:t>
      </w:r>
      <w:r w:rsidR="008F4C3D" w:rsidRPr="00C62B29">
        <w:rPr>
          <w:rFonts w:ascii="Bookman Old Style" w:eastAsia="Times New Roman" w:hAnsi="Bookman Old Style" w:cs="Calibri"/>
          <w:lang w:eastAsia="pl-PL"/>
        </w:rPr>
        <w:t xml:space="preserve">zawarta w art. 2 § 1 pr. not. naczelna zasada funkcjonowania notariatu, </w:t>
      </w:r>
      <w:r w:rsidR="00AF2FE0" w:rsidRPr="00C62B29">
        <w:rPr>
          <w:rFonts w:ascii="Bookman Old Style" w:eastAsia="Times New Roman" w:hAnsi="Bookman Old Style" w:cs="Calibri"/>
          <w:lang w:eastAsia="pl-PL"/>
        </w:rPr>
        <w:t xml:space="preserve">mówiąca o tym, </w:t>
      </w:r>
      <w:r w:rsidR="008F4C3D" w:rsidRPr="00C62B29">
        <w:rPr>
          <w:rFonts w:ascii="Bookman Old Style" w:eastAsia="Times New Roman" w:hAnsi="Bookman Old Style" w:cs="Calibri"/>
          <w:lang w:eastAsia="pl-PL"/>
        </w:rPr>
        <w:t>że notariusz działa jako osoba zaufania publicznego, korzystając</w:t>
      </w:r>
      <w:r w:rsidR="00AF2FE0" w:rsidRPr="00C62B29">
        <w:rPr>
          <w:rFonts w:ascii="Bookman Old Style" w:eastAsia="Times New Roman" w:hAnsi="Bookman Old Style" w:cs="Calibri"/>
          <w:lang w:eastAsia="pl-PL"/>
        </w:rPr>
        <w:t>a</w:t>
      </w:r>
      <w:r w:rsidR="008F4C3D" w:rsidRPr="00C62B29">
        <w:rPr>
          <w:rFonts w:ascii="Bookman Old Style" w:eastAsia="Times New Roman" w:hAnsi="Bookman Old Style" w:cs="Calibri"/>
          <w:lang w:eastAsia="pl-PL"/>
        </w:rPr>
        <w:t xml:space="preserve"> z ochrony przysługującej funkcjonariuszom publicznym. Zgodnie z podstawową zasadą funkcjonowania państwa prawa: „obywatel może wszystko czego prawo mu nie zabrania, państwo może wyłącznie to na co prawo mu wyraźnie zezwala”. Notariat w </w:t>
      </w:r>
      <w:r w:rsidR="00AF2FE0" w:rsidRPr="00C62B29">
        <w:rPr>
          <w:rFonts w:ascii="Bookman Old Style" w:eastAsia="Times New Roman" w:hAnsi="Bookman Old Style" w:cs="Calibri"/>
          <w:lang w:eastAsia="pl-PL"/>
        </w:rPr>
        <w:t xml:space="preserve">obecnym </w:t>
      </w:r>
      <w:r w:rsidR="008F4C3D" w:rsidRPr="00C62B29">
        <w:rPr>
          <w:rFonts w:ascii="Bookman Old Style" w:eastAsia="Times New Roman" w:hAnsi="Bookman Old Style" w:cs="Calibri"/>
          <w:lang w:eastAsia="pl-PL"/>
        </w:rPr>
        <w:t>stanie prawnym gwarantuje równowagę</w:t>
      </w:r>
      <w:r w:rsidR="00AF2FE0" w:rsidRPr="00C62B29">
        <w:rPr>
          <w:rFonts w:ascii="Bookman Old Style" w:eastAsia="Times New Roman" w:hAnsi="Bookman Old Style" w:cs="Calibri"/>
          <w:lang w:eastAsia="pl-PL"/>
        </w:rPr>
        <w:t>,</w:t>
      </w:r>
      <w:r w:rsidR="008F4C3D" w:rsidRPr="00C62B29">
        <w:rPr>
          <w:rFonts w:ascii="Bookman Old Style" w:eastAsia="Times New Roman" w:hAnsi="Bookman Old Style" w:cs="Calibri"/>
          <w:lang w:eastAsia="pl-PL"/>
        </w:rPr>
        <w:t xml:space="preserve"> stwarzając </w:t>
      </w:r>
      <w:r w:rsidR="007E6334" w:rsidRPr="00C62B29">
        <w:rPr>
          <w:rFonts w:ascii="Bookman Old Style" w:eastAsia="Times New Roman" w:hAnsi="Bookman Old Style" w:cs="Calibri"/>
          <w:lang w:eastAsia="pl-PL"/>
        </w:rPr>
        <w:t>obywatelom</w:t>
      </w:r>
      <w:r w:rsidR="008F4C3D" w:rsidRPr="00C62B29">
        <w:rPr>
          <w:rFonts w:ascii="Bookman Old Style" w:eastAsia="Times New Roman" w:hAnsi="Bookman Old Style" w:cs="Calibri"/>
          <w:lang w:eastAsia="pl-PL"/>
        </w:rPr>
        <w:t xml:space="preserve"> jako uczestnikom obrotu prawnego</w:t>
      </w:r>
      <w:r w:rsidR="00AF2FE0" w:rsidRPr="00C62B29">
        <w:rPr>
          <w:rFonts w:ascii="Bookman Old Style" w:eastAsia="Times New Roman" w:hAnsi="Bookman Old Style" w:cs="Calibri"/>
          <w:lang w:eastAsia="pl-PL"/>
        </w:rPr>
        <w:t>,</w:t>
      </w:r>
      <w:r w:rsidR="008F4C3D" w:rsidRPr="00C62B29">
        <w:rPr>
          <w:rFonts w:ascii="Bookman Old Style" w:eastAsia="Times New Roman" w:hAnsi="Bookman Old Style" w:cs="Calibri"/>
          <w:lang w:eastAsia="pl-PL"/>
        </w:rPr>
        <w:t xml:space="preserve"> możliwość ochrony bezstronnego specjalisty </w:t>
      </w:r>
      <w:r w:rsidR="00407EC1" w:rsidRPr="00C62B29">
        <w:rPr>
          <w:rFonts w:ascii="Bookman Old Style" w:eastAsia="Times New Roman" w:hAnsi="Bookman Old Style" w:cs="Calibri"/>
          <w:lang w:eastAsia="pl-PL"/>
        </w:rPr>
        <w:t>z</w:t>
      </w:r>
      <w:r w:rsidR="008F4C3D" w:rsidRPr="00C62B29">
        <w:rPr>
          <w:rFonts w:ascii="Bookman Old Style" w:eastAsia="Times New Roman" w:hAnsi="Bookman Old Style" w:cs="Calibri"/>
          <w:lang w:eastAsia="pl-PL"/>
        </w:rPr>
        <w:t xml:space="preserve"> zakres</w:t>
      </w:r>
      <w:r w:rsidR="00407EC1" w:rsidRPr="00C62B29">
        <w:rPr>
          <w:rFonts w:ascii="Bookman Old Style" w:eastAsia="Times New Roman" w:hAnsi="Bookman Old Style" w:cs="Calibri"/>
          <w:lang w:eastAsia="pl-PL"/>
        </w:rPr>
        <w:t>u</w:t>
      </w:r>
      <w:r w:rsidR="008F4C3D" w:rsidRPr="00C62B29">
        <w:rPr>
          <w:rFonts w:ascii="Bookman Old Style" w:eastAsia="Times New Roman" w:hAnsi="Bookman Old Style" w:cs="Calibri"/>
          <w:lang w:eastAsia="pl-PL"/>
        </w:rPr>
        <w:t xml:space="preserve"> prawa, </w:t>
      </w:r>
      <w:r w:rsidR="00FA323C" w:rsidRPr="00C62B29">
        <w:rPr>
          <w:rFonts w:ascii="Bookman Old Style" w:eastAsia="Times New Roman" w:hAnsi="Bookman Old Style" w:cs="Calibri"/>
          <w:lang w:eastAsia="pl-PL"/>
        </w:rPr>
        <w:t>równoważącego</w:t>
      </w:r>
      <w:r w:rsidR="008F4C3D" w:rsidRPr="00C62B29">
        <w:rPr>
          <w:rFonts w:ascii="Bookman Old Style" w:eastAsia="Times New Roman" w:hAnsi="Bookman Old Style" w:cs="Calibri"/>
          <w:lang w:eastAsia="pl-PL"/>
        </w:rPr>
        <w:t xml:space="preserve"> interes państwa oraz interes obywatela. </w:t>
      </w:r>
      <w:r w:rsidR="00DC0094" w:rsidRPr="00C62B29">
        <w:rPr>
          <w:rFonts w:ascii="Bookman Old Style" w:hAnsi="Bookman Old Style"/>
        </w:rPr>
        <w:t>W orzecznictwie podkreśla się, że notariusz sprawując</w:t>
      </w:r>
      <w:r w:rsidR="00407EC1" w:rsidRPr="00C62B29">
        <w:rPr>
          <w:rFonts w:ascii="Bookman Old Style" w:hAnsi="Bookman Old Style"/>
        </w:rPr>
        <w:t>,</w:t>
      </w:r>
      <w:r w:rsidR="00DC0094" w:rsidRPr="00C62B29">
        <w:rPr>
          <w:rFonts w:ascii="Bookman Old Style" w:hAnsi="Bookman Old Style"/>
        </w:rPr>
        <w:t xml:space="preserve"> w ramach zakreślonych ustawą, jurysdykcję prewencyjną oddziałuje na kontrahentów, aby swoje stosunki prawne ukształtowali zarówno zgodnie z prawem, jak i z zasadami współżycia społecznego.</w:t>
      </w:r>
      <w:r w:rsidR="00DC0094" w:rsidRPr="00C62B29">
        <w:rPr>
          <w:rStyle w:val="Odwoanieprzypisudolnego"/>
          <w:rFonts w:ascii="Bookman Old Style" w:hAnsi="Bookman Old Style"/>
        </w:rPr>
        <w:footnoteReference w:id="4"/>
      </w:r>
      <w:r w:rsidR="00DC0094" w:rsidRPr="00C62B29">
        <w:rPr>
          <w:rFonts w:ascii="Bookman Old Style" w:eastAsia="Times New Roman" w:hAnsi="Bookman Old Style" w:cs="Calibri"/>
          <w:lang w:eastAsia="pl-PL"/>
        </w:rPr>
        <w:t xml:space="preserve"> Podkreślić należy, że aktualny status notariusza, charakterystyczny dla notariatu łacińskiego, w którym przeplatają </w:t>
      </w:r>
      <w:r w:rsidR="00407EC1" w:rsidRPr="00C62B29">
        <w:rPr>
          <w:rFonts w:ascii="Bookman Old Style" w:eastAsia="Times New Roman" w:hAnsi="Bookman Old Style" w:cs="Calibri"/>
          <w:lang w:eastAsia="pl-PL"/>
        </w:rPr>
        <w:t xml:space="preserve">się </w:t>
      </w:r>
      <w:r w:rsidR="00DC0094" w:rsidRPr="00C62B29">
        <w:rPr>
          <w:rFonts w:ascii="Bookman Old Style" w:eastAsia="Times New Roman" w:hAnsi="Bookman Old Style" w:cs="Calibri"/>
          <w:lang w:eastAsia="pl-PL"/>
        </w:rPr>
        <w:t>elementy publiczne i prywatne, w którym dąży się do utrzymania równowagi między nimi,</w:t>
      </w:r>
      <w:r w:rsidR="00DC0094" w:rsidRPr="00C62B29">
        <w:rPr>
          <w:rStyle w:val="Odwoanieprzypisudolnego"/>
          <w:rFonts w:ascii="Bookman Old Style" w:eastAsia="Times New Roman" w:hAnsi="Bookman Old Style" w:cs="Calibri"/>
          <w:lang w:eastAsia="pl-PL"/>
        </w:rPr>
        <w:footnoteReference w:id="5"/>
      </w:r>
      <w:r w:rsidR="00DC0094" w:rsidRPr="00C62B29">
        <w:rPr>
          <w:rFonts w:ascii="Bookman Old Style" w:eastAsia="Times New Roman" w:hAnsi="Bookman Old Style" w:cs="Calibri"/>
          <w:lang w:eastAsia="pl-PL"/>
        </w:rPr>
        <w:t xml:space="preserve"> z powodzeniem funkcjonuje w polskim systemie prawa od 30 lat. Ideą </w:t>
      </w:r>
      <w:r w:rsidR="00546310" w:rsidRPr="00C62B29">
        <w:rPr>
          <w:rFonts w:ascii="Bookman Old Style" w:eastAsia="Times New Roman" w:hAnsi="Bookman Old Style" w:cs="Calibri"/>
          <w:lang w:eastAsia="pl-PL"/>
        </w:rPr>
        <w:t>od</w:t>
      </w:r>
      <w:r w:rsidR="00DC0094" w:rsidRPr="00C62B29">
        <w:rPr>
          <w:rFonts w:ascii="Bookman Old Style" w:eastAsia="Times New Roman" w:hAnsi="Bookman Old Style" w:cs="Calibri"/>
          <w:lang w:eastAsia="pl-PL"/>
        </w:rPr>
        <w:t>tworzenia w latach 90-tych notariatu jako prywatnego było przekonanie, że</w:t>
      </w:r>
      <w:r w:rsidR="00407EC1" w:rsidRPr="00C62B29">
        <w:rPr>
          <w:rFonts w:ascii="Bookman Old Style" w:eastAsia="Times New Roman" w:hAnsi="Bookman Old Style" w:cs="Calibri"/>
          <w:lang w:eastAsia="pl-PL"/>
        </w:rPr>
        <w:t xml:space="preserve"> notariusz</w:t>
      </w:r>
      <w:r w:rsidR="00DC0094" w:rsidRPr="00C62B29">
        <w:rPr>
          <w:rFonts w:ascii="Bookman Old Style" w:eastAsia="Times New Roman" w:hAnsi="Bookman Old Style" w:cs="Calibri"/>
          <w:lang w:eastAsia="pl-PL"/>
        </w:rPr>
        <w:t xml:space="preserve"> jako strażnik obrotu gospodarczego w równym stopniu ma obowiązek zabezpieczyć interes Skarbu Państwa, jak i interes prywatny. Miało to ogromne znaczenie w szczególności w kontekście napływu kapitału zagranicznego inwestującego w Polsce, dla którego bezstronny i wolny od nacisków aparatu państwowego notariat był gwarantem bezpieczeństwa gospodarczego. Wprowadzenie zmiany w zakresie statusu notariusza w ocenie SNRP naruszy tę równowagę. </w:t>
      </w:r>
      <w:r w:rsidR="00DC0094" w:rsidRPr="00C62B29">
        <w:rPr>
          <w:rFonts w:ascii="Bookman Old Style" w:eastAsia="Times New Roman" w:hAnsi="Bookman Old Style" w:cs="Calibri"/>
          <w:u w:val="single"/>
          <w:lang w:eastAsia="pl-PL"/>
        </w:rPr>
        <w:t xml:space="preserve">Z powyższego względu zmianę art. 2 § 1 pr. not. SNRP opiniuje negatywnie, albowiem dotychczasowa regulacja spełnia cele tej </w:t>
      </w:r>
      <w:r w:rsidR="00DC0094" w:rsidRPr="00C62B29">
        <w:rPr>
          <w:rFonts w:ascii="Bookman Old Style" w:eastAsia="Times New Roman" w:hAnsi="Bookman Old Style" w:cs="Calibri"/>
          <w:u w:val="single"/>
          <w:lang w:eastAsia="pl-PL"/>
        </w:rPr>
        <w:lastRenderedPageBreak/>
        <w:t xml:space="preserve">ustawy i wymogi konieczne dla realizacji zadań notariatu, także tych wskazanych w </w:t>
      </w:r>
      <w:r w:rsidR="003F6ECF" w:rsidRPr="00C62B29">
        <w:rPr>
          <w:rFonts w:ascii="Bookman Old Style" w:eastAsia="Times New Roman" w:hAnsi="Bookman Old Style" w:cs="Calibri"/>
          <w:u w:val="single"/>
          <w:lang w:eastAsia="pl-PL"/>
        </w:rPr>
        <w:t>Projekcie</w:t>
      </w:r>
      <w:r w:rsidR="004E00E8" w:rsidRPr="00C62B29">
        <w:rPr>
          <w:rFonts w:ascii="Bookman Old Style" w:eastAsia="Times New Roman" w:hAnsi="Bookman Old Style" w:cs="Calibri"/>
          <w:lang w:eastAsia="pl-PL"/>
        </w:rPr>
        <w:t>.</w:t>
      </w:r>
    </w:p>
    <w:p w14:paraId="45BBADD1" w14:textId="77777777" w:rsidR="00897FFD" w:rsidRPr="00C62B29" w:rsidRDefault="00897FFD" w:rsidP="00FF3FF2">
      <w:pPr>
        <w:shd w:val="clear" w:color="auto" w:fill="FFFFFF"/>
        <w:suppressAutoHyphens/>
        <w:ind w:firstLine="567"/>
        <w:jc w:val="both"/>
        <w:rPr>
          <w:rFonts w:ascii="Bookman Old Style" w:eastAsia="Times New Roman" w:hAnsi="Bookman Old Style" w:cs="Calibri"/>
          <w:lang w:eastAsia="pl-PL"/>
        </w:rPr>
      </w:pPr>
    </w:p>
    <w:p w14:paraId="4C07F794" w14:textId="77777777" w:rsidR="004F2E16" w:rsidRPr="00C62B29" w:rsidRDefault="00FA323C" w:rsidP="001049D3">
      <w:pPr>
        <w:numPr>
          <w:ilvl w:val="0"/>
          <w:numId w:val="5"/>
        </w:numPr>
        <w:suppressAutoHyphens/>
        <w:spacing w:line="360" w:lineRule="auto"/>
        <w:ind w:left="426"/>
        <w:jc w:val="both"/>
        <w:rPr>
          <w:rFonts w:ascii="Bookman Old Style" w:hAnsi="Bookman Old Style" w:cs="Arial"/>
          <w:b/>
          <w:spacing w:val="4"/>
          <w:sz w:val="28"/>
          <w:szCs w:val="28"/>
        </w:rPr>
      </w:pPr>
      <w:r w:rsidRPr="00C62B29">
        <w:rPr>
          <w:rFonts w:ascii="Bookman Old Style" w:hAnsi="Bookman Old Style" w:cs="Arial"/>
          <w:b/>
          <w:spacing w:val="4"/>
          <w:sz w:val="28"/>
          <w:szCs w:val="28"/>
        </w:rPr>
        <w:t>o</w:t>
      </w:r>
      <w:r w:rsidR="004F2E16" w:rsidRPr="00C62B29">
        <w:rPr>
          <w:rFonts w:ascii="Bookman Old Style" w:hAnsi="Bookman Old Style" w:cs="Arial"/>
          <w:b/>
          <w:spacing w:val="4"/>
          <w:sz w:val="28"/>
          <w:szCs w:val="28"/>
        </w:rPr>
        <w:t>dnośnie art. 1 pkt 4) Projektu</w:t>
      </w:r>
    </w:p>
    <w:p w14:paraId="68B1BBA2" w14:textId="7685B5FC" w:rsidR="003F6ECF" w:rsidRPr="00C62B29" w:rsidRDefault="003F6ECF" w:rsidP="001049D3">
      <w:pPr>
        <w:pStyle w:val="NormalnyWeb"/>
        <w:suppressAutoHyphens/>
        <w:spacing w:before="0" w:beforeAutospacing="0" w:after="0" w:afterAutospacing="0" w:line="360" w:lineRule="auto"/>
        <w:ind w:firstLine="720"/>
        <w:jc w:val="both"/>
        <w:rPr>
          <w:rFonts w:ascii="Bookman Old Style" w:hAnsi="Bookman Old Style"/>
        </w:rPr>
      </w:pPr>
      <w:r w:rsidRPr="00C62B29">
        <w:rPr>
          <w:rFonts w:ascii="Bookman Old Style" w:hAnsi="Bookman Old Style"/>
        </w:rPr>
        <w:t xml:space="preserve">Projektowany art. 15a wprowadza obligatoryjność zawieszenia notariusza przez Ministra Sprawiedliwości w określonych przypadkach, a także wskazuje na przypadki, w których zawieszenie notariusza w czynnościach zawodowych jest fakultatywne. Zwrócić należy uwagę na to, że przepis ten jest w zasadzie analogiczny do rozwiązań wprowadzonych w art. 18 ustawy z dnia 22 marca 2018 r. o komornikach sądowych (t.j. Dz. U. z 2021 r. poz. 850 z późn. zm.). Nie ulega jednak wątpliwości, że pomiędzy zawodami komornika i notariusza są istotne różnice. Zwrócił na to uwagę sam Minister Sprawiedliwości w stanowisku zawartym w sprawie zakończonej wyrokiem Wojewódzkiego Sądu Administracyjnego </w:t>
      </w:r>
      <w:r w:rsidR="0084603C" w:rsidRPr="00C62B29">
        <w:rPr>
          <w:rFonts w:ascii="Bookman Old Style" w:hAnsi="Bookman Old Style"/>
        </w:rPr>
        <w:t xml:space="preserve">z </w:t>
      </w:r>
      <w:r w:rsidRPr="00C62B29">
        <w:rPr>
          <w:rFonts w:ascii="Bookman Old Style" w:hAnsi="Bookman Old Style"/>
        </w:rPr>
        <w:t>siedzib</w:t>
      </w:r>
      <w:r w:rsidR="0084603C" w:rsidRPr="00C62B29">
        <w:rPr>
          <w:rFonts w:ascii="Bookman Old Style" w:hAnsi="Bookman Old Style"/>
        </w:rPr>
        <w:t>ą</w:t>
      </w:r>
      <w:r w:rsidRPr="00C62B29">
        <w:rPr>
          <w:rFonts w:ascii="Bookman Old Style" w:hAnsi="Bookman Old Style"/>
        </w:rPr>
        <w:t xml:space="preserve"> w Warszawie z dnia 7 marca 2018 r., sygn.VI SA/Wa 2417/17</w:t>
      </w:r>
      <w:r w:rsidRPr="00C62B29">
        <w:rPr>
          <w:rStyle w:val="Odwoanieprzypisudolnego"/>
          <w:rFonts w:ascii="Bookman Old Style" w:hAnsi="Bookman Old Style"/>
        </w:rPr>
        <w:footnoteReference w:id="6"/>
      </w:r>
      <w:r w:rsidRPr="00C62B29">
        <w:rPr>
          <w:rFonts w:ascii="Bookman Old Style" w:hAnsi="Bookman Old Style"/>
        </w:rPr>
        <w:t xml:space="preserve"> , w którym stwierdził, że notariusz nie reprezentuje państwa podczas wykonywania swoich zadań, a pieczęci używa jedynie dla zagwarantowania pewności dokonywanych czynności i utrudnienia podrobienia wytworzonych w ten sposób dokumentów. Notariusz i inne zawody prawnicze zaufania publicznego podpadają pod zasadę konstytucyjną – swobody wyboru i wykonywania zawodu. Natomiast w przypadku komornika do Ministra </w:t>
      </w:r>
      <w:r w:rsidR="007E6334" w:rsidRPr="00C62B29">
        <w:rPr>
          <w:rFonts w:ascii="Bookman Old Style" w:hAnsi="Bookman Old Style"/>
        </w:rPr>
        <w:t>Sprawiedliwości</w:t>
      </w:r>
      <w:r w:rsidRPr="00C62B29">
        <w:rPr>
          <w:rFonts w:ascii="Bookman Old Style" w:hAnsi="Bookman Old Style"/>
        </w:rPr>
        <w:t xml:space="preserve"> jako podmiotu mającego zasadniczy wpływ na funkcjonowanie systemu egzekucji sądowej należy najpierw decyzja co do celowości utworzenia kancelarii w danym rewirze, a w dalszej kolejności jej obsadzenie - powołanie komornika. Minister stwierdził, że wykonywanie zawodu komornika nosi znamiona służby publicznej i do jego wykonywania powinno się raczej stosować</w:t>
      </w:r>
      <w:r w:rsidR="00200AD8" w:rsidRPr="00C62B29">
        <w:rPr>
          <w:rFonts w:ascii="Bookman Old Style" w:hAnsi="Bookman Old Style"/>
        </w:rPr>
        <w:t xml:space="preserve"> art. 60 </w:t>
      </w:r>
      <w:r w:rsidRPr="00C62B29">
        <w:rPr>
          <w:rFonts w:ascii="Bookman Old Style" w:hAnsi="Bookman Old Style"/>
        </w:rPr>
        <w:t xml:space="preserve">Konstytucji RP, zwłaszcza że liczba miejsc pracy jest ograniczona, co skutkuje równym a nie swobodnym dostępem. Minister Sprawiedliwości </w:t>
      </w:r>
      <w:r w:rsidR="0084603C" w:rsidRPr="00C62B29">
        <w:rPr>
          <w:rFonts w:ascii="Bookman Old Style" w:hAnsi="Bookman Old Style"/>
        </w:rPr>
        <w:t xml:space="preserve">słusznie wówczas </w:t>
      </w:r>
      <w:r w:rsidRPr="00C62B29">
        <w:rPr>
          <w:rFonts w:ascii="Bookman Old Style" w:hAnsi="Bookman Old Style"/>
        </w:rPr>
        <w:t xml:space="preserve">podkreślił, że samo podobieństwo między sposobem finansowania kancelarii komorniczych czy notarialnych nie jest wystarczające do przyjęcia tożsamości obu zawodów. Stowarzyszenie Notariuszy RP popiera stanowisko Ministra Sprawiedliwości wyrażone w wyżej wymienionej sprawie i uważa, że </w:t>
      </w:r>
      <w:r w:rsidRPr="00C62B29">
        <w:rPr>
          <w:rFonts w:ascii="Bookman Old Style" w:hAnsi="Bookman Old Style"/>
        </w:rPr>
        <w:lastRenderedPageBreak/>
        <w:t xml:space="preserve">wszelkie analogie do ustawy o komornikach wprowadzone w projekcie opiniowanej ustawy są nieuprawnione. </w:t>
      </w:r>
    </w:p>
    <w:p w14:paraId="05783203" w14:textId="118132DA" w:rsidR="000F586E" w:rsidRPr="00C62B29" w:rsidRDefault="000F586E"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Projektodawca jako </w:t>
      </w:r>
      <w:r w:rsidRPr="00C62B29">
        <w:rPr>
          <w:rFonts w:ascii="Bookman Old Style" w:hAnsi="Bookman Old Style"/>
          <w:i/>
        </w:rPr>
        <w:t>ratio legis</w:t>
      </w:r>
      <w:r w:rsidRPr="00C62B29">
        <w:rPr>
          <w:rFonts w:ascii="Bookman Old Style" w:hAnsi="Bookman Old Style"/>
        </w:rPr>
        <w:t xml:space="preserve"> takiego rozwiązania wskazuje na jeden z celów ustawy jakim jest „przemodelowanie nadzoru sprawowanego nad notariatem i jego wzmocnienie, co jest niezbędne w związku z przyznaniem notariuszom nowych zadań i ich rangą”</w:t>
      </w:r>
      <w:r w:rsidRPr="00C62B29">
        <w:rPr>
          <w:rStyle w:val="Odwoanieprzypisudolnego"/>
          <w:rFonts w:ascii="Bookman Old Style" w:hAnsi="Bookman Old Style"/>
        </w:rPr>
        <w:footnoteReference w:id="7"/>
      </w:r>
      <w:r w:rsidRPr="00C62B29">
        <w:rPr>
          <w:rFonts w:ascii="Bookman Old Style" w:hAnsi="Bookman Old Style"/>
        </w:rPr>
        <w:t xml:space="preserve"> Jako uzasadnienie zmian wskazano, że obowiązujący system nadzoru okazał się niewystarczający do zapobiegnięcia poważnym nadużyciom i szybkiego wyciągania konsekwencji wobec ich sprawców, wobec czego konieczna jest reforma nadzoru nad notariatem. Na poparcie tej tezy wskazano linki z doniesień prasowych na temat nieprawidłowości przy wykonywaniu czynności notarialnych, związanych z działalnością kryminalną, w tym w ramach zorganizowanych grup przestępczych. Podkreślić trzeba, że taka analiza tematu ma wady metodologiczne. Kształtowanie systemu nadzoru notariuszy, dokonujących istotnych prawnie i doniosłych społecznie zadań z zakresu ochrony prawnej</w:t>
      </w:r>
      <w:r w:rsidR="00F35996" w:rsidRPr="00C62B29">
        <w:rPr>
          <w:rFonts w:ascii="Bookman Old Style" w:hAnsi="Bookman Old Style"/>
        </w:rPr>
        <w:t>,</w:t>
      </w:r>
      <w:r w:rsidRPr="00C62B29">
        <w:rPr>
          <w:rFonts w:ascii="Bookman Old Style" w:hAnsi="Bookman Old Style"/>
        </w:rPr>
        <w:t xml:space="preserve"> na podstawie doniesień prasowych wydaje się być zabiegiem nieprofesjonalnym, tym bardziej, że </w:t>
      </w:r>
      <w:r w:rsidR="005E0CB6">
        <w:rPr>
          <w:rFonts w:ascii="Bookman Old Style" w:hAnsi="Bookman Old Style"/>
        </w:rPr>
        <w:t>P</w:t>
      </w:r>
      <w:r w:rsidRPr="00C62B29">
        <w:rPr>
          <w:rFonts w:ascii="Bookman Old Style" w:hAnsi="Bookman Old Style"/>
        </w:rPr>
        <w:t>rojektodawca ma dostęp do statystyk zarówno sądowych, jak i notarialnych</w:t>
      </w:r>
      <w:r w:rsidR="00F35996" w:rsidRPr="00C62B29">
        <w:rPr>
          <w:rFonts w:ascii="Bookman Old Style" w:hAnsi="Bookman Old Style"/>
        </w:rPr>
        <w:t>. M</w:t>
      </w:r>
      <w:r w:rsidRPr="00C62B29">
        <w:rPr>
          <w:rFonts w:ascii="Bookman Old Style" w:hAnsi="Bookman Old Style"/>
        </w:rPr>
        <w:t>a zatem wszelkie możliwości, aby temat zbadać w szerszym zakresie. Cytowane doniesienia prasowe w przeważających przypadkach dotyczą procesów niezakończonych prawomocnymi wyrokami, co mając na względzie zasadę domniemania niewinności, jest zabiegiem</w:t>
      </w:r>
      <w:r w:rsidR="00F804F1" w:rsidRPr="00C62B29">
        <w:rPr>
          <w:rFonts w:ascii="Bookman Old Style" w:hAnsi="Bookman Old Style"/>
        </w:rPr>
        <w:t xml:space="preserve"> nie dającym prawdziwego oglądu sytuacji</w:t>
      </w:r>
      <w:r w:rsidRPr="00C62B29">
        <w:rPr>
          <w:rFonts w:ascii="Bookman Old Style" w:hAnsi="Bookman Old Style"/>
        </w:rPr>
        <w:t xml:space="preserve">. Wśród tych spraw, rzeczywiście znajdują się nieliczne sprawy, w których notariusz ma postawiony zarzut udziału w zorganizowanej grupie przestępczej, niemniej należy brać pod uwagę, że tylko w jednej sprawie notariusz (prawdopodobnie) został skazany prawomocnie na podstawie art. 258 kk., w pozostałych sprawach albo postępowania trwają, albo notariusz nie został skazany za zarzucony mu czyn udziału w zorganizowanej grupie przestępczej. Tak daleko idące wzmocnienie nadzoru nad notariatem na podstawie jednej sprawy jest zabiegiem zbyt daleko idącym, naruszającym zasadę proporcjonalności. Zwrócić należy uwagę na to, że przestępczość w notariacie jest niezwykle niska, a to, że o tych rzadkich przypadkach popełnienia przestępstw przez notariuszy </w:t>
      </w:r>
      <w:r w:rsidRPr="00C62B29">
        <w:rPr>
          <w:rFonts w:ascii="Bookman Old Style" w:hAnsi="Bookman Old Style"/>
        </w:rPr>
        <w:lastRenderedPageBreak/>
        <w:t xml:space="preserve">piszą media wynika z tego, że jest </w:t>
      </w:r>
      <w:r w:rsidR="00280D89" w:rsidRPr="00C62B29">
        <w:rPr>
          <w:rFonts w:ascii="Bookman Old Style" w:hAnsi="Bookman Old Style"/>
        </w:rPr>
        <w:t xml:space="preserve">to </w:t>
      </w:r>
      <w:r w:rsidRPr="00C62B29">
        <w:rPr>
          <w:rFonts w:ascii="Bookman Old Style" w:hAnsi="Bookman Old Style"/>
        </w:rPr>
        <w:t>sytuacja nadzwyczajna i dotycząca osoby o wysokim statusie zaufania społecznego. Takie sytuacje zdarzają się i w innych zawodach, przykładowo:</w:t>
      </w:r>
    </w:p>
    <w:p w14:paraId="6F234FBD" w14:textId="77777777" w:rsidR="000F586E" w:rsidRPr="00C62B29" w:rsidRDefault="000F586E" w:rsidP="001049D3">
      <w:pPr>
        <w:suppressAutoHyphens/>
        <w:spacing w:line="360" w:lineRule="auto"/>
        <w:jc w:val="both"/>
        <w:rPr>
          <w:rFonts w:ascii="Bookman Old Style" w:hAnsi="Bookman Old Style"/>
        </w:rPr>
      </w:pPr>
      <w:r w:rsidRPr="00C62B29">
        <w:rPr>
          <w:rFonts w:ascii="Bookman Old Style" w:hAnsi="Bookman Old Style"/>
        </w:rPr>
        <w:t xml:space="preserve"> </w:t>
      </w:r>
      <w:hyperlink r:id="rId8" w:history="1">
        <w:r w:rsidRPr="00C62B29">
          <w:rPr>
            <w:rStyle w:val="Hipercze"/>
            <w:rFonts w:ascii="Bookman Old Style" w:hAnsi="Bookman Old Style"/>
          </w:rPr>
          <w:t>https://gloswielkopolski.pl/byly-komornik-z-poznania-zostal-prawomocnie-skazany-za-wielomilionowe-oszustwo-konrad-c-idzie-do-wiezienia-na-35-roku/ar/c1-15668420</w:t>
        </w:r>
      </w:hyperlink>
    </w:p>
    <w:p w14:paraId="38B6FDC5" w14:textId="77777777" w:rsidR="000F586E" w:rsidRPr="00C62B29" w:rsidRDefault="00FC348B" w:rsidP="001049D3">
      <w:pPr>
        <w:suppressAutoHyphens/>
        <w:spacing w:line="360" w:lineRule="auto"/>
        <w:jc w:val="both"/>
        <w:rPr>
          <w:rFonts w:ascii="Bookman Old Style" w:hAnsi="Bookman Old Style"/>
        </w:rPr>
      </w:pPr>
      <w:hyperlink r:id="rId9" w:history="1">
        <w:r w:rsidR="000F586E" w:rsidRPr="00C62B29">
          <w:rPr>
            <w:rStyle w:val="Hipercze"/>
            <w:rFonts w:ascii="Bookman Old Style" w:hAnsi="Bookman Old Style"/>
          </w:rPr>
          <w:t>https://info.wyborcza.pl/temat/wyborcza/zatrzymany+adwokat</w:t>
        </w:r>
      </w:hyperlink>
    </w:p>
    <w:p w14:paraId="5F324EFF" w14:textId="77777777" w:rsidR="000F586E" w:rsidRPr="00C62B29" w:rsidRDefault="00FC348B" w:rsidP="001049D3">
      <w:pPr>
        <w:suppressAutoHyphens/>
        <w:spacing w:line="360" w:lineRule="auto"/>
        <w:jc w:val="both"/>
        <w:rPr>
          <w:rFonts w:ascii="Bookman Old Style" w:hAnsi="Bookman Old Style"/>
        </w:rPr>
      </w:pPr>
      <w:hyperlink r:id="rId10" w:history="1">
        <w:r w:rsidR="000F586E" w:rsidRPr="00C62B29">
          <w:rPr>
            <w:rStyle w:val="Hipercze"/>
            <w:rFonts w:ascii="Bookman Old Style" w:hAnsi="Bookman Old Style"/>
          </w:rPr>
          <w:t>https://www.rp.pl/sady-i-trybunaly/art36256721-sedzia-z-lublina-zatrzymany-mial-spowodowac-kolizje-po-pijanemu</w:t>
        </w:r>
      </w:hyperlink>
      <w:r w:rsidR="00280D89" w:rsidRPr="00C62B29">
        <w:rPr>
          <w:rStyle w:val="Hipercze"/>
          <w:rFonts w:ascii="Bookman Old Style" w:hAnsi="Bookman Old Style"/>
        </w:rPr>
        <w:t>.</w:t>
      </w:r>
    </w:p>
    <w:p w14:paraId="280D8413" w14:textId="34427B02" w:rsidR="000F586E" w:rsidRPr="00C62B29" w:rsidRDefault="000F586E" w:rsidP="001049D3">
      <w:pPr>
        <w:suppressAutoHyphens/>
        <w:spacing w:line="360" w:lineRule="auto"/>
        <w:jc w:val="both"/>
        <w:rPr>
          <w:rFonts w:ascii="Bookman Old Style" w:hAnsi="Bookman Old Style"/>
          <w:strike/>
        </w:rPr>
      </w:pPr>
      <w:r w:rsidRPr="00C62B29">
        <w:rPr>
          <w:rFonts w:ascii="Bookman Old Style" w:hAnsi="Bookman Old Style"/>
        </w:rPr>
        <w:t>Powyższe losow</w:t>
      </w:r>
      <w:r w:rsidR="00280D89" w:rsidRPr="00C62B29">
        <w:rPr>
          <w:rFonts w:ascii="Bookman Old Style" w:hAnsi="Bookman Old Style"/>
        </w:rPr>
        <w:t>o wybrane</w:t>
      </w:r>
      <w:r w:rsidRPr="00C62B29">
        <w:rPr>
          <w:rFonts w:ascii="Bookman Old Style" w:hAnsi="Bookman Old Style"/>
        </w:rPr>
        <w:t xml:space="preserve"> przykłady pokazują, że </w:t>
      </w:r>
      <w:r w:rsidR="00280D89" w:rsidRPr="00C62B29">
        <w:rPr>
          <w:rFonts w:ascii="Bookman Old Style" w:hAnsi="Bookman Old Style"/>
        </w:rPr>
        <w:t>podejrzenie</w:t>
      </w:r>
      <w:r w:rsidRPr="00C62B29">
        <w:rPr>
          <w:rFonts w:ascii="Bookman Old Style" w:hAnsi="Bookman Old Style"/>
        </w:rPr>
        <w:t xml:space="preserve"> popełniania przestępstw przez osoby wykonujące zawód zaufania społecznego jest tematem medialnie nośnym, często przedstawiany</w:t>
      </w:r>
      <w:r w:rsidR="00280D89" w:rsidRPr="00C62B29">
        <w:rPr>
          <w:rFonts w:ascii="Bookman Old Style" w:hAnsi="Bookman Old Style"/>
        </w:rPr>
        <w:t>m</w:t>
      </w:r>
      <w:r w:rsidRPr="00C62B29">
        <w:rPr>
          <w:rFonts w:ascii="Bookman Old Style" w:hAnsi="Bookman Old Style"/>
        </w:rPr>
        <w:t xml:space="preserve"> z dużymi przerysowaniami tak</w:t>
      </w:r>
      <w:r w:rsidR="00785623" w:rsidRPr="00C62B29">
        <w:rPr>
          <w:rFonts w:ascii="Bookman Old Style" w:hAnsi="Bookman Old Style"/>
        </w:rPr>
        <w:t>,</w:t>
      </w:r>
      <w:r w:rsidRPr="00C62B29">
        <w:rPr>
          <w:rFonts w:ascii="Bookman Old Style" w:hAnsi="Bookman Old Style"/>
        </w:rPr>
        <w:t xml:space="preserve"> aby materiał prasowy był bardziej interesujący lub bulwersujący, co oczywiście nie usprawiedliwia popełnionych przez te osoby czynów.</w:t>
      </w:r>
      <w:r w:rsidR="00785623" w:rsidRPr="00C62B29">
        <w:rPr>
          <w:rFonts w:ascii="Bookman Old Style" w:hAnsi="Bookman Old Style"/>
        </w:rPr>
        <w:t xml:space="preserve"> Dlatego z całą</w:t>
      </w:r>
      <w:r w:rsidRPr="00C62B29">
        <w:rPr>
          <w:rFonts w:ascii="Bookman Old Style" w:hAnsi="Bookman Old Style"/>
        </w:rPr>
        <w:t xml:space="preserve"> stanowczością </w:t>
      </w:r>
      <w:r w:rsidR="00785623" w:rsidRPr="00C62B29">
        <w:rPr>
          <w:rFonts w:ascii="Bookman Old Style" w:hAnsi="Bookman Old Style"/>
        </w:rPr>
        <w:t xml:space="preserve">należy </w:t>
      </w:r>
      <w:r w:rsidRPr="00C62B29">
        <w:rPr>
          <w:rFonts w:ascii="Bookman Old Style" w:hAnsi="Bookman Old Style"/>
        </w:rPr>
        <w:t xml:space="preserve">podkreślić, że doniesienia prasowe nie mogą być podstawą do wprowadzenia w danym zawodzie reform tak daleko idących. </w:t>
      </w:r>
      <w:r w:rsidR="00785623" w:rsidRPr="00C62B29">
        <w:rPr>
          <w:rFonts w:ascii="Bookman Old Style" w:hAnsi="Bookman Old Style"/>
        </w:rPr>
        <w:t>Podkre</w:t>
      </w:r>
      <w:r w:rsidR="0050305C" w:rsidRPr="00C62B29">
        <w:rPr>
          <w:rFonts w:ascii="Bookman Old Style" w:hAnsi="Bookman Old Style"/>
        </w:rPr>
        <w:t>ś</w:t>
      </w:r>
      <w:r w:rsidR="00785623" w:rsidRPr="00C62B29">
        <w:rPr>
          <w:rFonts w:ascii="Bookman Old Style" w:hAnsi="Bookman Old Style"/>
        </w:rPr>
        <w:t xml:space="preserve">lić </w:t>
      </w:r>
      <w:r w:rsidRPr="00C62B29">
        <w:rPr>
          <w:rFonts w:ascii="Bookman Old Style" w:hAnsi="Bookman Old Style"/>
        </w:rPr>
        <w:t>należy, że Minister Sprawiedliwości sprawuje nadzór zarówno nad notariatem, jak i nad sądownictwem i prokuraturą</w:t>
      </w:r>
      <w:r w:rsidR="0050305C" w:rsidRPr="00C62B29">
        <w:rPr>
          <w:rFonts w:ascii="Bookman Old Style" w:hAnsi="Bookman Old Style"/>
        </w:rPr>
        <w:t xml:space="preserve"> i z tego powodu powinien</w:t>
      </w:r>
      <w:r w:rsidRPr="00C62B29">
        <w:rPr>
          <w:rFonts w:ascii="Bookman Old Style" w:hAnsi="Bookman Old Style"/>
        </w:rPr>
        <w:t xml:space="preserve"> dyspon</w:t>
      </w:r>
      <w:r w:rsidR="0050305C" w:rsidRPr="00C62B29">
        <w:rPr>
          <w:rFonts w:ascii="Bookman Old Style" w:hAnsi="Bookman Old Style"/>
        </w:rPr>
        <w:t>ować</w:t>
      </w:r>
      <w:r w:rsidRPr="00C62B29">
        <w:rPr>
          <w:rFonts w:ascii="Bookman Old Style" w:hAnsi="Bookman Old Style"/>
        </w:rPr>
        <w:t xml:space="preserve"> twardymi danymi na temat skali przestępczości w notariacie co oznacza, że w uzasadnieniu </w:t>
      </w:r>
      <w:r w:rsidR="00A7327E">
        <w:rPr>
          <w:rFonts w:ascii="Bookman Old Style" w:hAnsi="Bookman Old Style"/>
        </w:rPr>
        <w:t>P</w:t>
      </w:r>
      <w:r w:rsidRPr="00C62B29">
        <w:rPr>
          <w:rFonts w:ascii="Bookman Old Style" w:hAnsi="Bookman Old Style"/>
        </w:rPr>
        <w:t xml:space="preserve">rojektu powinny się znaleźć dane statystyczne chociażby za ostatnie 5 lat </w:t>
      </w:r>
      <w:r w:rsidR="007E6334" w:rsidRPr="00C62B29">
        <w:rPr>
          <w:rFonts w:ascii="Bookman Old Style" w:hAnsi="Bookman Old Style"/>
        </w:rPr>
        <w:t>pokazujące,</w:t>
      </w:r>
      <w:r w:rsidRPr="00C62B29">
        <w:rPr>
          <w:rFonts w:ascii="Bookman Old Style" w:hAnsi="Bookman Old Style"/>
        </w:rPr>
        <w:t xml:space="preserve"> ile było postępowań karnych prowadzonych przeciwko notariuszom, ile z tych postępowań zakończyło się aktami oskarżenia a ile skazaniem notariusza. Dopiero tak przedstawiona argumentacja może być jednym z </w:t>
      </w:r>
      <w:r w:rsidR="009C5DF8" w:rsidRPr="00C62B29">
        <w:rPr>
          <w:rFonts w:ascii="Bookman Old Style" w:hAnsi="Bookman Old Style"/>
        </w:rPr>
        <w:t xml:space="preserve">podstawowych </w:t>
      </w:r>
      <w:r w:rsidRPr="00C62B29">
        <w:rPr>
          <w:rFonts w:ascii="Bookman Old Style" w:hAnsi="Bookman Old Style"/>
        </w:rPr>
        <w:t>elementów uzasadniających potrzebę przemodelowania nadzoru nad notariatem.</w:t>
      </w:r>
    </w:p>
    <w:p w14:paraId="299094E9" w14:textId="7D8A4E63" w:rsidR="006F1C93"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Przechodząc do merytorycznej oceny projektowanego artykułu 15a podnieść należy, że zawieszenie notariusza w postępowaniu karnym przez Ministra Sprawiedliwości – w niektórych przypadkach obligatoryjn</w:t>
      </w:r>
      <w:r w:rsidR="00C10E5C" w:rsidRPr="00C62B29">
        <w:rPr>
          <w:rFonts w:ascii="Bookman Old Style" w:hAnsi="Bookman Old Style"/>
        </w:rPr>
        <w:t>e</w:t>
      </w:r>
      <w:r w:rsidRPr="00C62B29">
        <w:rPr>
          <w:rFonts w:ascii="Bookman Old Style" w:hAnsi="Bookman Old Style"/>
        </w:rPr>
        <w:t>, wprowadza daleko idący automatyzm w sytuacji prawnej notariusza, co jest naruszeniem zasady proporcjonalności. Zawieszenie notariusza w czynnościach zawodowych jest środkiem dotkliwym dla notariusza (nie uzyskuje w tym czasie żadnych dochodów, a jednocześnie ma obowiązek utrzym</w:t>
      </w:r>
      <w:r w:rsidR="00C85BD9" w:rsidRPr="00C62B29">
        <w:rPr>
          <w:rFonts w:ascii="Bookman Old Style" w:hAnsi="Bookman Old Style"/>
        </w:rPr>
        <w:t>yw</w:t>
      </w:r>
      <w:r w:rsidRPr="00C62B29">
        <w:rPr>
          <w:rFonts w:ascii="Bookman Old Style" w:hAnsi="Bookman Old Style"/>
        </w:rPr>
        <w:t>ania kancelarii, pracowników</w:t>
      </w:r>
      <w:r w:rsidR="00C85BD9" w:rsidRPr="00C62B29">
        <w:rPr>
          <w:rFonts w:ascii="Bookman Old Style" w:hAnsi="Bookman Old Style"/>
        </w:rPr>
        <w:t xml:space="preserve">, opłacania składek na potrzeby </w:t>
      </w:r>
      <w:r w:rsidR="00C85BD9" w:rsidRPr="00C62B29">
        <w:rPr>
          <w:rFonts w:ascii="Bookman Old Style" w:hAnsi="Bookman Old Style"/>
        </w:rPr>
        <w:lastRenderedPageBreak/>
        <w:t>samorządu notarialnego,</w:t>
      </w:r>
      <w:r w:rsidRPr="00C62B29">
        <w:rPr>
          <w:rFonts w:ascii="Bookman Old Style" w:hAnsi="Bookman Old Style"/>
        </w:rPr>
        <w:t xml:space="preserve"> </w:t>
      </w:r>
      <w:r w:rsidR="007E6334" w:rsidRPr="00C62B29">
        <w:rPr>
          <w:rFonts w:ascii="Bookman Old Style" w:hAnsi="Bookman Old Style"/>
        </w:rPr>
        <w:t>itp.</w:t>
      </w:r>
      <w:r w:rsidRPr="00C62B29">
        <w:rPr>
          <w:rFonts w:ascii="Bookman Old Style" w:hAnsi="Bookman Old Style"/>
        </w:rPr>
        <w:t xml:space="preserve">). W przypadku wprowadzenia takiego uregulowanie sytuacja notariusza będzie gorsza niż sędziego w analogicznej sytuacji, który w przypadku zawieszenia pobiera wynagrodzenie w wysokości max 50%, a w przypadku uniewinnienia lub umorzenia postępowania wynagrodzenie i wszystkie dodatki wyrównywane są do pełnej wysokości. </w:t>
      </w:r>
      <w:r w:rsidR="00BA1C85" w:rsidRPr="00C62B29">
        <w:rPr>
          <w:rFonts w:ascii="Bookman Old Style" w:hAnsi="Bookman Old Style"/>
        </w:rPr>
        <w:t xml:space="preserve">Chyba, że </w:t>
      </w:r>
      <w:r w:rsidR="009E3945" w:rsidRPr="00C62B29">
        <w:rPr>
          <w:rFonts w:ascii="Bookman Old Style" w:hAnsi="Bookman Old Style"/>
        </w:rPr>
        <w:t xml:space="preserve">skoro </w:t>
      </w:r>
      <w:r w:rsidR="005E0CB6">
        <w:rPr>
          <w:rFonts w:ascii="Bookman Old Style" w:hAnsi="Bookman Old Style"/>
        </w:rPr>
        <w:t>P</w:t>
      </w:r>
      <w:r w:rsidR="009E3945" w:rsidRPr="00C62B29">
        <w:rPr>
          <w:rFonts w:ascii="Bookman Old Style" w:hAnsi="Bookman Old Style"/>
        </w:rPr>
        <w:t xml:space="preserve">rojektodawca przyznaje notariuszowi status </w:t>
      </w:r>
      <w:r w:rsidR="009C5BE7" w:rsidRPr="00C62B29">
        <w:rPr>
          <w:rFonts w:ascii="Bookman Old Style" w:hAnsi="Bookman Old Style"/>
        </w:rPr>
        <w:t>funkcjonariusza</w:t>
      </w:r>
      <w:r w:rsidR="009E3945" w:rsidRPr="00C62B29">
        <w:rPr>
          <w:rFonts w:ascii="Bookman Old Style" w:hAnsi="Bookman Old Style"/>
        </w:rPr>
        <w:t xml:space="preserve"> publicznego, to jego intencją jest</w:t>
      </w:r>
      <w:r w:rsidR="00BA1C85" w:rsidRPr="00C62B29">
        <w:rPr>
          <w:rFonts w:ascii="Bookman Old Style" w:hAnsi="Bookman Old Style"/>
        </w:rPr>
        <w:t xml:space="preserve"> potraktowanie takiego notariusza</w:t>
      </w:r>
      <w:r w:rsidR="009E3945" w:rsidRPr="00C62B29">
        <w:rPr>
          <w:rFonts w:ascii="Bookman Old Style" w:hAnsi="Bookman Old Style"/>
        </w:rPr>
        <w:t>, analogicznie jak sędziego i przyznanie mu</w:t>
      </w:r>
      <w:r w:rsidR="009C5BE7" w:rsidRPr="00C62B29">
        <w:rPr>
          <w:rFonts w:ascii="Bookman Old Style" w:hAnsi="Bookman Old Style"/>
        </w:rPr>
        <w:t xml:space="preserve"> w</w:t>
      </w:r>
      <w:r w:rsidR="009E3945" w:rsidRPr="00C62B29">
        <w:rPr>
          <w:rFonts w:ascii="Bookman Old Style" w:hAnsi="Bookman Old Style"/>
        </w:rPr>
        <w:t>ynagrodzenia w okresie zawieszenia jak i</w:t>
      </w:r>
      <w:r w:rsidR="009C5BE7" w:rsidRPr="00C62B29">
        <w:rPr>
          <w:rFonts w:ascii="Bookman Old Style" w:hAnsi="Bookman Old Style"/>
        </w:rPr>
        <w:t xml:space="preserve"> po jego ustaniu, </w:t>
      </w:r>
      <w:r w:rsidR="00BA1C85" w:rsidRPr="00C62B29">
        <w:rPr>
          <w:rFonts w:ascii="Bookman Old Style" w:hAnsi="Bookman Old Style"/>
        </w:rPr>
        <w:t xml:space="preserve">w przypadku uniewinnienia lub umorzenia postępowania. Ponadto zauważyć należy, że od notariusza wymaga się prowadzenia kancelarii notarialnej w granicach wolnego rynku co skutkuje tym, że po zakończeniu postępowania jego umorzeniem lub uniewinnieniem notariusz nie ma do czego </w:t>
      </w:r>
      <w:r w:rsidR="007E6334" w:rsidRPr="00C62B29">
        <w:rPr>
          <w:rFonts w:ascii="Bookman Old Style" w:hAnsi="Bookman Old Style"/>
        </w:rPr>
        <w:t>wracać,</w:t>
      </w:r>
      <w:r w:rsidR="00BA1C85" w:rsidRPr="00C62B29">
        <w:rPr>
          <w:rFonts w:ascii="Bookman Old Style" w:hAnsi="Bookman Old Style"/>
        </w:rPr>
        <w:t xml:space="preserve"> bo jego miejsce na rynku zajęli inni notariusze</w:t>
      </w:r>
      <w:r w:rsidR="00FC4072" w:rsidRPr="00C62B29">
        <w:rPr>
          <w:rFonts w:ascii="Bookman Old Style" w:hAnsi="Bookman Old Style"/>
        </w:rPr>
        <w:t>, co w sytuacji, że większość notariuszy to osoby do 45 roku życia, mający małoletnie dzieci, jest dla nich życiową tragedią</w:t>
      </w:r>
      <w:r w:rsidR="00BA1C85" w:rsidRPr="00C62B29">
        <w:rPr>
          <w:rFonts w:ascii="Bookman Old Style" w:hAnsi="Bookman Old Style"/>
        </w:rPr>
        <w:t>. Z tych względów</w:t>
      </w:r>
      <w:r w:rsidRPr="00C62B29">
        <w:rPr>
          <w:rFonts w:ascii="Bookman Old Style" w:hAnsi="Bookman Old Style"/>
        </w:rPr>
        <w:t xml:space="preserve"> wprowadzenie takiego rozwiązania nie może być czynnością zautomatyzowaną. Z treści proponowanego przepisu wynika, że </w:t>
      </w:r>
      <w:r w:rsidR="001424A1">
        <w:rPr>
          <w:rFonts w:ascii="Bookman Old Style" w:hAnsi="Bookman Old Style"/>
        </w:rPr>
        <w:t>„</w:t>
      </w:r>
      <w:r w:rsidRPr="00C62B29">
        <w:rPr>
          <w:rFonts w:ascii="Bookman Old Style" w:hAnsi="Bookman Old Style"/>
        </w:rPr>
        <w:t>toczy się przeciwko notariuszowi postępowanie przygotowawcze</w:t>
      </w:r>
      <w:r w:rsidR="001424A1">
        <w:rPr>
          <w:rFonts w:ascii="Bookman Old Style" w:hAnsi="Bookman Old Style"/>
        </w:rPr>
        <w:t>”</w:t>
      </w:r>
      <w:r w:rsidRPr="00C62B29">
        <w:rPr>
          <w:rFonts w:ascii="Bookman Old Style" w:hAnsi="Bookman Old Style"/>
        </w:rPr>
        <w:t xml:space="preserve">, a zatem ma on przedstawione zarzuty popełnienia przestępstwa. Zachodzi zatem pytanie, jakie </w:t>
      </w:r>
      <w:r w:rsidRPr="00C62B29">
        <w:rPr>
          <w:rFonts w:ascii="Bookman Old Style" w:hAnsi="Bookman Old Style"/>
          <w:i/>
        </w:rPr>
        <w:t>jest ratio legis</w:t>
      </w:r>
      <w:r w:rsidRPr="00C62B29">
        <w:rPr>
          <w:rFonts w:ascii="Bookman Old Style" w:hAnsi="Bookman Old Style"/>
        </w:rPr>
        <w:t xml:space="preserve"> wprowadzenia tego przepisu, w tym obligatoryjność działania Ministra Sprawiedliwości o automatycznym zawieszeni</w:t>
      </w:r>
      <w:r w:rsidR="00B02F75" w:rsidRPr="00C62B29">
        <w:rPr>
          <w:rFonts w:ascii="Bookman Old Style" w:hAnsi="Bookman Old Style"/>
        </w:rPr>
        <w:t>u</w:t>
      </w:r>
      <w:r w:rsidRPr="00C62B29">
        <w:rPr>
          <w:rFonts w:ascii="Bookman Old Style" w:hAnsi="Bookman Old Style"/>
        </w:rPr>
        <w:t xml:space="preserve"> notariusza, bez </w:t>
      </w:r>
      <w:r w:rsidR="00B02F75" w:rsidRPr="00C62B29">
        <w:rPr>
          <w:rFonts w:ascii="Bookman Old Style" w:hAnsi="Bookman Old Style"/>
        </w:rPr>
        <w:t>konieczności przeprowadzenia jakiejkolwiek oceny</w:t>
      </w:r>
      <w:r w:rsidR="006F1C93" w:rsidRPr="00C62B29">
        <w:rPr>
          <w:rFonts w:ascii="Bookman Old Style" w:hAnsi="Bookman Old Style"/>
        </w:rPr>
        <w:t xml:space="preserve"> skoro w</w:t>
      </w:r>
      <w:r w:rsidRPr="00C62B29">
        <w:rPr>
          <w:rFonts w:ascii="Bookman Old Style" w:hAnsi="Bookman Old Style"/>
        </w:rPr>
        <w:t xml:space="preserve"> obecnym stanie prawnym gospodarz takiego postępowania, którym jest prokurator nadzorowany przez Ministra Sprawiedliwości - Prokuratora Generalnego nie widzi potrzeby zastosowania</w:t>
      </w:r>
      <w:r w:rsidR="00B920A2" w:rsidRPr="00C62B29">
        <w:rPr>
          <w:rFonts w:ascii="Bookman Old Style" w:hAnsi="Bookman Old Style"/>
        </w:rPr>
        <w:t>,</w:t>
      </w:r>
      <w:r w:rsidRPr="00C62B29">
        <w:rPr>
          <w:rFonts w:ascii="Bookman Old Style" w:hAnsi="Bookman Old Style"/>
        </w:rPr>
        <w:t xml:space="preserve"> tytułem środka zapobiegawczego</w:t>
      </w:r>
      <w:r w:rsidR="00B920A2" w:rsidRPr="00C62B29">
        <w:rPr>
          <w:rFonts w:ascii="Bookman Old Style" w:hAnsi="Bookman Old Style"/>
        </w:rPr>
        <w:t>,</w:t>
      </w:r>
      <w:r w:rsidRPr="00C62B29">
        <w:rPr>
          <w:rFonts w:ascii="Bookman Old Style" w:hAnsi="Bookman Old Style"/>
        </w:rPr>
        <w:t xml:space="preserve"> instytucji zawieszenia notariusza w czynnościach zawodowy</w:t>
      </w:r>
      <w:r w:rsidR="00B87194" w:rsidRPr="00C62B29">
        <w:rPr>
          <w:rFonts w:ascii="Bookman Old Style" w:hAnsi="Bookman Old Style"/>
        </w:rPr>
        <w:t>ch na podstawie art. 276 k.p.k.</w:t>
      </w:r>
      <w:r w:rsidR="006F1C93" w:rsidRPr="00C62B29">
        <w:rPr>
          <w:rFonts w:ascii="Bookman Old Style" w:hAnsi="Bookman Old Style"/>
        </w:rPr>
        <w:t>?</w:t>
      </w:r>
      <w:r w:rsidR="00B87194" w:rsidRPr="00C62B29">
        <w:rPr>
          <w:rFonts w:ascii="Bookman Old Style" w:hAnsi="Bookman Old Style"/>
        </w:rPr>
        <w:t xml:space="preserve"> </w:t>
      </w:r>
      <w:r w:rsidR="006F1C93" w:rsidRPr="00C62B29">
        <w:rPr>
          <w:rFonts w:ascii="Bookman Old Style" w:hAnsi="Bookman Old Style"/>
        </w:rPr>
        <w:t xml:space="preserve">Dodatkowo nie można pominąć okoliczności, że Minister Sprawiedliwości –Prokurator Generalny może polecić, w trybie nadzoru, prokuratorowi prowadzącemu sprawę zawieszenie notariusza. </w:t>
      </w:r>
    </w:p>
    <w:p w14:paraId="2AAD777A" w14:textId="77777777" w:rsidR="00A35AE7" w:rsidRPr="00C62B29" w:rsidRDefault="006F1C93" w:rsidP="001049D3">
      <w:pPr>
        <w:suppressAutoHyphens/>
        <w:spacing w:line="360" w:lineRule="auto"/>
        <w:ind w:firstLine="708"/>
        <w:jc w:val="both"/>
        <w:rPr>
          <w:rFonts w:ascii="Bookman Old Style" w:hAnsi="Bookman Old Style"/>
        </w:rPr>
      </w:pPr>
      <w:r w:rsidRPr="00C62B29">
        <w:rPr>
          <w:rFonts w:ascii="Bookman Old Style" w:hAnsi="Bookman Old Style"/>
        </w:rPr>
        <w:t>Nie można zapomnieć, że</w:t>
      </w:r>
      <w:r w:rsidR="004F2E16" w:rsidRPr="00C62B29">
        <w:rPr>
          <w:rFonts w:ascii="Bookman Old Style" w:hAnsi="Bookman Old Style"/>
        </w:rPr>
        <w:t xml:space="preserve"> w aktualnym stanie prawnym z zastosowaniem środka zapobiegawczego wiążą się określone gwarancje procesowe, w tym w szczególności określon</w:t>
      </w:r>
      <w:r w:rsidRPr="00C62B29">
        <w:rPr>
          <w:rFonts w:ascii="Bookman Old Style" w:hAnsi="Bookman Old Style"/>
        </w:rPr>
        <w:t>e</w:t>
      </w:r>
      <w:r w:rsidR="004F2E16" w:rsidRPr="00C62B29">
        <w:rPr>
          <w:rFonts w:ascii="Bookman Old Style" w:hAnsi="Bookman Old Style"/>
        </w:rPr>
        <w:t xml:space="preserve"> w art. 249 k.p.k.</w:t>
      </w:r>
      <w:r w:rsidR="004F2E16" w:rsidRPr="00C62B29">
        <w:rPr>
          <w:rStyle w:val="Odwoanieprzypisudolnego"/>
          <w:rFonts w:ascii="Bookman Old Style" w:hAnsi="Bookman Old Style"/>
        </w:rPr>
        <w:footnoteReference w:id="8"/>
      </w:r>
      <w:r w:rsidR="00B87194" w:rsidRPr="00C62B29">
        <w:rPr>
          <w:rFonts w:ascii="Bookman Old Style" w:hAnsi="Bookman Old Style"/>
        </w:rPr>
        <w:t>.</w:t>
      </w:r>
      <w:r w:rsidR="004F2E16" w:rsidRPr="00C62B29">
        <w:rPr>
          <w:rFonts w:ascii="Bookman Old Style" w:hAnsi="Bookman Old Style"/>
        </w:rPr>
        <w:t xml:space="preserve"> Środki </w:t>
      </w:r>
      <w:r w:rsidR="004F2E16" w:rsidRPr="00C62B29">
        <w:rPr>
          <w:rFonts w:ascii="Bookman Old Style" w:hAnsi="Bookman Old Style"/>
        </w:rPr>
        <w:lastRenderedPageBreak/>
        <w:t xml:space="preserve">zapobiegawcze służą zabezpieczeniu prawidłowego toku postępowania przygotowawczego, a w szczególności uniemożliwienie podejrzanemu matactwa i innych działań mających na celu utrudnienie toczącego się postępowania. </w:t>
      </w:r>
    </w:p>
    <w:p w14:paraId="5BCD4C13" w14:textId="77777777" w:rsidR="00BE3FD8" w:rsidRPr="00C62B29" w:rsidRDefault="00A35AE7" w:rsidP="001049D3">
      <w:pPr>
        <w:suppressAutoHyphens/>
        <w:spacing w:line="360" w:lineRule="auto"/>
        <w:ind w:firstLine="708"/>
        <w:jc w:val="both"/>
        <w:rPr>
          <w:rFonts w:ascii="Bookman Old Style" w:hAnsi="Bookman Old Style"/>
        </w:rPr>
      </w:pPr>
      <w:r w:rsidRPr="00C62B29">
        <w:rPr>
          <w:rFonts w:ascii="Bookman Old Style" w:hAnsi="Bookman Old Style"/>
        </w:rPr>
        <w:t>Zdaniem SNRP a</w:t>
      </w:r>
      <w:r w:rsidR="004F2E16" w:rsidRPr="00C62B29">
        <w:rPr>
          <w:rFonts w:ascii="Bookman Old Style" w:hAnsi="Bookman Old Style"/>
        </w:rPr>
        <w:t xml:space="preserve">ktualnie stosowane środki w tym zakresie spełniają swoją rolę, gdyż to prokurator, który prowadzi sprawę jest w stanie ocenić, czy w określonej sprawie zawieszenie notariusza w czynnościach zawodowych jest </w:t>
      </w:r>
      <w:r w:rsidRPr="00C62B29">
        <w:rPr>
          <w:rFonts w:ascii="Bookman Old Style" w:hAnsi="Bookman Old Style"/>
        </w:rPr>
        <w:t>uzasadnione potrzebami prowadzonego postępowania</w:t>
      </w:r>
      <w:r w:rsidR="004F2E16" w:rsidRPr="00C62B29">
        <w:rPr>
          <w:rFonts w:ascii="Bookman Old Style" w:hAnsi="Bookman Old Style"/>
        </w:rPr>
        <w:t>, a zatem jeśli prowadzący takie postępowanie przygotowawcze prokurator nie zastosował środka zapobiegawczego w postaci zawieszenia notariusza oznacza</w:t>
      </w:r>
      <w:r w:rsidR="00BE3FD8" w:rsidRPr="00C62B29">
        <w:rPr>
          <w:rFonts w:ascii="Bookman Old Style" w:hAnsi="Bookman Old Style"/>
        </w:rPr>
        <w:t xml:space="preserve"> to</w:t>
      </w:r>
      <w:r w:rsidR="004F2E16" w:rsidRPr="00C62B29">
        <w:rPr>
          <w:rFonts w:ascii="Bookman Old Style" w:hAnsi="Bookman Old Style"/>
        </w:rPr>
        <w:t xml:space="preserve">, że nie było ku temu </w:t>
      </w:r>
      <w:r w:rsidR="00BE3FD8" w:rsidRPr="00C62B29">
        <w:rPr>
          <w:rFonts w:ascii="Bookman Old Style" w:hAnsi="Bookman Old Style"/>
        </w:rPr>
        <w:t xml:space="preserve">wymaganych ustawą </w:t>
      </w:r>
      <w:r w:rsidR="004F2E16" w:rsidRPr="00C62B29">
        <w:rPr>
          <w:rFonts w:ascii="Bookman Old Style" w:hAnsi="Bookman Old Style"/>
        </w:rPr>
        <w:t>przesłanek. Wobec tego wydaje się, że automatyzm zawieszenia notariusza przez Ministra Sprawiedliwości będzie pełnił funkcję kary, a nie środka zapobiegawczego</w:t>
      </w:r>
      <w:r w:rsidR="00BE3FD8" w:rsidRPr="00C62B29">
        <w:rPr>
          <w:rFonts w:ascii="Bookman Old Style" w:hAnsi="Bookman Old Style"/>
        </w:rPr>
        <w:t>. I</w:t>
      </w:r>
      <w:r w:rsidR="004F2E16" w:rsidRPr="00C62B29">
        <w:rPr>
          <w:rFonts w:ascii="Bookman Old Style" w:hAnsi="Bookman Old Style"/>
        </w:rPr>
        <w:t xml:space="preserve"> to kary wymierzonej, bez procesu i jeszcze przed ewentualnym skazaniem.</w:t>
      </w:r>
    </w:p>
    <w:p w14:paraId="6DEC5D0D" w14:textId="466EBC6F" w:rsidR="004F2E16"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 xml:space="preserve">Zauważyć ponadto należy, że w projektowanym przepisie brak jest informacji o jakiego rodzaju przestępstwo może chodzić – czy o takie, które popełnił notariusz jako funkcjonariusz publiczny, czy też możliwe jest zawieszenie notariusza w czynnościach zawodowych za postawienie mu zarzutu popełnienia przestępstwa powszechnego – jako osoba prywatna, będąca notariuszem. W tym drugim przypadku może się okazać, że brak jest związku pomiędzy popełnieniem zarzucanego czynu, a czynnościami zawodowymi notariusza, zaś automatyczne zawieszenie nie spełni w tym przypadku celu, jaki postawił sobie </w:t>
      </w:r>
      <w:r w:rsidR="005E0CB6">
        <w:rPr>
          <w:rFonts w:ascii="Bookman Old Style" w:hAnsi="Bookman Old Style"/>
        </w:rPr>
        <w:t>P</w:t>
      </w:r>
      <w:r w:rsidRPr="00C62B29">
        <w:rPr>
          <w:rFonts w:ascii="Bookman Old Style" w:hAnsi="Bookman Old Style"/>
        </w:rPr>
        <w:t xml:space="preserve">rojektodawca, a mianowicie wzmocnienie nadzoru w związku z przyznaniem notariuszom nowych zadań. </w:t>
      </w:r>
    </w:p>
    <w:p w14:paraId="1FBAA7FF" w14:textId="4BCD0B9C" w:rsidR="004F2E16"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 xml:space="preserve">Szczególnie rażącym przykładem naruszenia zasady proporcjonalności jest rozwiązanie przyjęte </w:t>
      </w:r>
      <w:r w:rsidR="00200AD8" w:rsidRPr="00C62B29">
        <w:rPr>
          <w:rFonts w:ascii="Bookman Old Style" w:hAnsi="Bookman Old Style"/>
        </w:rPr>
        <w:t xml:space="preserve">w projektowanym </w:t>
      </w:r>
      <w:r w:rsidRPr="00C62B29">
        <w:rPr>
          <w:rFonts w:ascii="Bookman Old Style" w:hAnsi="Bookman Old Style"/>
        </w:rPr>
        <w:t xml:space="preserve">art. 15a § 2 pkt 3 </w:t>
      </w:r>
      <w:r w:rsidR="00200AD8" w:rsidRPr="00C62B29">
        <w:rPr>
          <w:rFonts w:ascii="Bookman Old Style" w:hAnsi="Bookman Old Style"/>
        </w:rPr>
        <w:t>pr.not.</w:t>
      </w:r>
      <w:r w:rsidRPr="00C62B29">
        <w:rPr>
          <w:rFonts w:ascii="Bookman Old Style" w:hAnsi="Bookman Old Style"/>
        </w:rPr>
        <w:t>, to jest możliwość zawieszenia notariusza w przypadku skierowania przeciwko niemu subsydiarnego aktu oskarżenia. Omawiana sytuacja dotyczy przecież stanu, w którym prokurator dwukrotnie wydał postanowienie o odmowie wszczęcia lub o umorzeniu postępowania (najczęściej na podstawie art. 17 §1 pkt 1 lub 2 k</w:t>
      </w:r>
      <w:r w:rsidR="00200AD8" w:rsidRPr="00C62B29">
        <w:rPr>
          <w:rFonts w:ascii="Bookman Old Style" w:hAnsi="Bookman Old Style"/>
        </w:rPr>
        <w:t>.</w:t>
      </w:r>
      <w:r w:rsidRPr="00C62B29">
        <w:rPr>
          <w:rFonts w:ascii="Bookman Old Style" w:hAnsi="Bookman Old Style"/>
        </w:rPr>
        <w:t>p</w:t>
      </w:r>
      <w:r w:rsidR="00200AD8" w:rsidRPr="00C62B29">
        <w:rPr>
          <w:rFonts w:ascii="Bookman Old Style" w:hAnsi="Bookman Old Style"/>
        </w:rPr>
        <w:t>.</w:t>
      </w:r>
      <w:r w:rsidRPr="00C62B29">
        <w:rPr>
          <w:rFonts w:ascii="Bookman Old Style" w:hAnsi="Bookman Old Style"/>
        </w:rPr>
        <w:t xml:space="preserve">k). Nietrudno sobie wyobrazić sytuację, w której klient kancelarii notarialnej – w celu wymuszenia na notariuszu określonego zachowania złoży zawiadomienie o przestępstwie, mimo braku znamion, a następnie złoży subsydiarny akt oskarżenia. Tego typu rozwiązanie może </w:t>
      </w:r>
      <w:r w:rsidR="007E6334" w:rsidRPr="00C62B29">
        <w:rPr>
          <w:rFonts w:ascii="Bookman Old Style" w:hAnsi="Bookman Old Style"/>
        </w:rPr>
        <w:t>wprowadzić furtkę</w:t>
      </w:r>
      <w:r w:rsidRPr="00C62B29">
        <w:rPr>
          <w:rFonts w:ascii="Bookman Old Style" w:hAnsi="Bookman Old Style"/>
        </w:rPr>
        <w:t xml:space="preserve"> </w:t>
      </w:r>
      <w:r w:rsidRPr="00C62B29">
        <w:rPr>
          <w:rFonts w:ascii="Bookman Old Style" w:hAnsi="Bookman Old Style"/>
        </w:rPr>
        <w:lastRenderedPageBreak/>
        <w:t>do przeprowad</w:t>
      </w:r>
      <w:r w:rsidR="00B87194" w:rsidRPr="00C62B29">
        <w:rPr>
          <w:rFonts w:ascii="Bookman Old Style" w:hAnsi="Bookman Old Style"/>
        </w:rPr>
        <w:t xml:space="preserve">zania nacisków na bezstronnego </w:t>
      </w:r>
      <w:r w:rsidRPr="00C62B29">
        <w:rPr>
          <w:rFonts w:ascii="Bookman Old Style" w:hAnsi="Bookman Old Style"/>
        </w:rPr>
        <w:t>notariusz</w:t>
      </w:r>
      <w:r w:rsidR="00B87194" w:rsidRPr="00C62B29">
        <w:rPr>
          <w:rFonts w:ascii="Bookman Old Style" w:hAnsi="Bookman Old Style"/>
        </w:rPr>
        <w:t>a</w:t>
      </w:r>
      <w:r w:rsidRPr="00C62B29">
        <w:rPr>
          <w:rFonts w:ascii="Bookman Old Style" w:hAnsi="Bookman Old Style"/>
        </w:rPr>
        <w:t xml:space="preserve"> i jest rozwiązaniem niezwykle niebezpiecznym. Z tych względów </w:t>
      </w:r>
      <w:r w:rsidR="00BE3FD8" w:rsidRPr="00C62B29">
        <w:rPr>
          <w:rFonts w:ascii="Bookman Old Style" w:hAnsi="Bookman Old Style"/>
        </w:rPr>
        <w:t>tak</w:t>
      </w:r>
      <w:r w:rsidR="00CB3570" w:rsidRPr="00C62B29">
        <w:rPr>
          <w:rFonts w:ascii="Bookman Old Style" w:hAnsi="Bookman Old Style"/>
        </w:rPr>
        <w:t xml:space="preserve">a regulacja </w:t>
      </w:r>
      <w:r w:rsidRPr="00C62B29">
        <w:rPr>
          <w:rFonts w:ascii="Bookman Old Style" w:hAnsi="Bookman Old Style"/>
        </w:rPr>
        <w:t>nie powinn</w:t>
      </w:r>
      <w:r w:rsidR="00CB3570" w:rsidRPr="00C62B29">
        <w:rPr>
          <w:rFonts w:ascii="Bookman Old Style" w:hAnsi="Bookman Old Style"/>
        </w:rPr>
        <w:t>a</w:t>
      </w:r>
      <w:r w:rsidRPr="00C62B29">
        <w:rPr>
          <w:rFonts w:ascii="Bookman Old Style" w:hAnsi="Bookman Old Style"/>
        </w:rPr>
        <w:t xml:space="preserve"> znaleźć się w projektowanej nowelizacji. Na marginesie zwrócić należy uwagę na to, że przy przesłankach ustania zawieszenia wskazanych w </w:t>
      </w:r>
      <w:r w:rsidR="004E00E8" w:rsidRPr="00C62B29">
        <w:rPr>
          <w:rFonts w:ascii="Bookman Old Style" w:hAnsi="Bookman Old Style"/>
        </w:rPr>
        <w:t xml:space="preserve">projektowanym art. 15a </w:t>
      </w:r>
      <w:r w:rsidRPr="00C62B29">
        <w:rPr>
          <w:rFonts w:ascii="Bookman Old Style" w:hAnsi="Bookman Old Style"/>
        </w:rPr>
        <w:t>§</w:t>
      </w:r>
      <w:r w:rsidR="00B87194" w:rsidRPr="00C62B29">
        <w:rPr>
          <w:rFonts w:ascii="Bookman Old Style" w:hAnsi="Bookman Old Style"/>
        </w:rPr>
        <w:t xml:space="preserve"> </w:t>
      </w:r>
      <w:r w:rsidRPr="00C62B29">
        <w:rPr>
          <w:rFonts w:ascii="Bookman Old Style" w:hAnsi="Bookman Old Style"/>
        </w:rPr>
        <w:t xml:space="preserve">6 </w:t>
      </w:r>
      <w:r w:rsidR="004E00E8" w:rsidRPr="00C62B29">
        <w:rPr>
          <w:rFonts w:ascii="Bookman Old Style" w:hAnsi="Bookman Old Style"/>
        </w:rPr>
        <w:t>pr.not.</w:t>
      </w:r>
      <w:r w:rsidRPr="00C62B29">
        <w:rPr>
          <w:rFonts w:ascii="Bookman Old Style" w:hAnsi="Bookman Old Style"/>
        </w:rPr>
        <w:t>, nie przewidziano jako powodu ustania zawieszenia, zakończenia postępowania zainicjowanego subsydiarnym aktem oskarżenia, o którym mowa art. 15a § 2 pkt 3.</w:t>
      </w:r>
    </w:p>
    <w:p w14:paraId="56CBA73E" w14:textId="43DF953D" w:rsidR="004F2E16" w:rsidRPr="00C62B29" w:rsidRDefault="004F2E16" w:rsidP="001049D3">
      <w:pPr>
        <w:suppressAutoHyphens/>
        <w:spacing w:line="360" w:lineRule="auto"/>
        <w:ind w:firstLine="708"/>
        <w:jc w:val="both"/>
        <w:rPr>
          <w:rFonts w:ascii="Bookman Old Style" w:hAnsi="Bookman Old Style"/>
        </w:rPr>
      </w:pPr>
      <w:r w:rsidRPr="00C62B29">
        <w:rPr>
          <w:rFonts w:ascii="Bookman Old Style" w:hAnsi="Bookman Old Style"/>
        </w:rPr>
        <w:t xml:space="preserve">Nie sposób zaaprobować przyjętego w projekcie ustawy </w:t>
      </w:r>
      <w:r w:rsidR="007E6334" w:rsidRPr="00C62B29">
        <w:rPr>
          <w:rFonts w:ascii="Bookman Old Style" w:hAnsi="Bookman Old Style"/>
        </w:rPr>
        <w:t>rozwiązania wskazanego</w:t>
      </w:r>
      <w:r w:rsidRPr="00C62B29">
        <w:rPr>
          <w:rFonts w:ascii="Bookman Old Style" w:hAnsi="Bookman Old Style"/>
        </w:rPr>
        <w:t xml:space="preserve"> w </w:t>
      </w:r>
      <w:r w:rsidR="004E00E8" w:rsidRPr="00C62B29">
        <w:rPr>
          <w:rFonts w:ascii="Bookman Old Style" w:hAnsi="Bookman Old Style"/>
        </w:rPr>
        <w:t xml:space="preserve">projektowanym art.15 </w:t>
      </w:r>
      <w:r w:rsidRPr="00C62B29">
        <w:rPr>
          <w:rFonts w:ascii="Bookman Old Style" w:hAnsi="Bookman Old Style"/>
        </w:rPr>
        <w:t>§</w:t>
      </w:r>
      <w:r w:rsidR="00B87194" w:rsidRPr="00C62B29">
        <w:rPr>
          <w:rFonts w:ascii="Bookman Old Style" w:hAnsi="Bookman Old Style"/>
        </w:rPr>
        <w:t xml:space="preserve"> </w:t>
      </w:r>
      <w:r w:rsidRPr="00C62B29">
        <w:rPr>
          <w:rFonts w:ascii="Bookman Old Style" w:hAnsi="Bookman Old Style"/>
        </w:rPr>
        <w:t>7 pr</w:t>
      </w:r>
      <w:r w:rsidR="004E00E8" w:rsidRPr="00C62B29">
        <w:rPr>
          <w:rFonts w:ascii="Bookman Old Style" w:hAnsi="Bookman Old Style"/>
        </w:rPr>
        <w:t>.not.</w:t>
      </w:r>
      <w:r w:rsidRPr="00C62B29">
        <w:rPr>
          <w:rFonts w:ascii="Bookman Old Style" w:hAnsi="Bookman Old Style"/>
        </w:rPr>
        <w:t xml:space="preserve">, zgodnie z którym do rozpoznania zażalenia na postanowienie Ministra Sprawiedliwości o zawieszeniu notariusza w czynnościach zawodowych stosuje się odpowiednio przepisy Kodeksu postępowania karnego o środkach odwoławczych, nie stosuje się natomiast przepisów o środkach zapobiegawczych. Biorąc pod uwagę znaczną dolegliwość zawieszenia notariusza w czynnościach zawodowych, a także wspomniane w </w:t>
      </w:r>
      <w:r w:rsidR="00A7327E">
        <w:rPr>
          <w:rFonts w:ascii="Bookman Old Style" w:hAnsi="Bookman Old Style"/>
        </w:rPr>
        <w:t>P</w:t>
      </w:r>
      <w:r w:rsidRPr="00C62B29">
        <w:rPr>
          <w:rFonts w:ascii="Bookman Old Style" w:hAnsi="Bookman Old Style"/>
        </w:rPr>
        <w:t>rojekcie przeciążenie sądów powszechnych pracą, a co za tym idzie odległe terminy rozpoznawania środków zaskarżenia, niezbędnym jest stosowanie przepisów o środkach zapobiegawczych, w szczególności zasady niezwłocznego rozpoznawania zażalenia – zgodnie z art. 252 §3 k</w:t>
      </w:r>
      <w:r w:rsidR="004E00E8" w:rsidRPr="00C62B29">
        <w:rPr>
          <w:rFonts w:ascii="Bookman Old Style" w:hAnsi="Bookman Old Style"/>
        </w:rPr>
        <w:t>.</w:t>
      </w:r>
      <w:r w:rsidRPr="00C62B29">
        <w:rPr>
          <w:rFonts w:ascii="Bookman Old Style" w:hAnsi="Bookman Old Style"/>
        </w:rPr>
        <w:t>p</w:t>
      </w:r>
      <w:r w:rsidR="004E00E8" w:rsidRPr="00C62B29">
        <w:rPr>
          <w:rFonts w:ascii="Bookman Old Style" w:hAnsi="Bookman Old Style"/>
        </w:rPr>
        <w:t>.</w:t>
      </w:r>
      <w:r w:rsidRPr="00C62B29">
        <w:rPr>
          <w:rFonts w:ascii="Bookman Old Style" w:hAnsi="Bookman Old Style"/>
        </w:rPr>
        <w:t>k.</w:t>
      </w:r>
    </w:p>
    <w:p w14:paraId="5DDBEBE9" w14:textId="77777777" w:rsidR="004F2E16" w:rsidRPr="00C62B29" w:rsidRDefault="004F2E16" w:rsidP="001049D3">
      <w:pPr>
        <w:suppressAutoHyphens/>
        <w:spacing w:line="360" w:lineRule="auto"/>
        <w:ind w:firstLine="708"/>
        <w:jc w:val="both"/>
        <w:rPr>
          <w:rFonts w:ascii="Bookman Old Style" w:hAnsi="Bookman Old Style"/>
          <w:u w:val="single"/>
        </w:rPr>
      </w:pPr>
      <w:r w:rsidRPr="00C62B29">
        <w:rPr>
          <w:rFonts w:ascii="Bookman Old Style" w:hAnsi="Bookman Old Style"/>
          <w:u w:val="single"/>
        </w:rPr>
        <w:t>Biorąc pod uwagę powyższe Stowarzyszenie Notariuszy RP wno</w:t>
      </w:r>
      <w:r w:rsidR="004E00E8" w:rsidRPr="00C62B29">
        <w:rPr>
          <w:rFonts w:ascii="Bookman Old Style" w:hAnsi="Bookman Old Style"/>
          <w:u w:val="single"/>
        </w:rPr>
        <w:t>si o wykreślenie w całości projektowanego art.</w:t>
      </w:r>
      <w:r w:rsidRPr="00C62B29">
        <w:rPr>
          <w:rFonts w:ascii="Bookman Old Style" w:hAnsi="Bookman Old Style"/>
          <w:u w:val="single"/>
        </w:rPr>
        <w:t xml:space="preserve"> 15a </w:t>
      </w:r>
      <w:r w:rsidR="004E00E8" w:rsidRPr="00C62B29">
        <w:rPr>
          <w:rFonts w:ascii="Bookman Old Style" w:hAnsi="Bookman Old Style"/>
          <w:u w:val="single"/>
        </w:rPr>
        <w:t xml:space="preserve">pr. not. </w:t>
      </w:r>
    </w:p>
    <w:p w14:paraId="58F6232F" w14:textId="77777777" w:rsidR="00200AD8" w:rsidRPr="00C62B29" w:rsidRDefault="00200AD8" w:rsidP="00FF3FF2">
      <w:pPr>
        <w:suppressAutoHyphens/>
        <w:ind w:firstLine="709"/>
        <w:jc w:val="both"/>
        <w:rPr>
          <w:rFonts w:ascii="Bookman Old Style" w:hAnsi="Bookman Old Style"/>
          <w:u w:val="single"/>
        </w:rPr>
      </w:pPr>
    </w:p>
    <w:p w14:paraId="75B09E3C" w14:textId="7A7E9413" w:rsidR="004F2E16" w:rsidRPr="00C62B29" w:rsidRDefault="004F2E16" w:rsidP="001049D3">
      <w:pPr>
        <w:numPr>
          <w:ilvl w:val="0"/>
          <w:numId w:val="5"/>
        </w:numPr>
        <w:suppressAutoHyphens/>
        <w:spacing w:line="276" w:lineRule="auto"/>
        <w:ind w:left="426"/>
        <w:jc w:val="both"/>
        <w:rPr>
          <w:rFonts w:ascii="Bookman Old Style" w:hAnsi="Bookman Old Style" w:cs="Arial"/>
          <w:b/>
          <w:spacing w:val="4"/>
          <w:sz w:val="28"/>
          <w:szCs w:val="28"/>
        </w:rPr>
      </w:pPr>
      <w:r w:rsidRPr="00C62B29">
        <w:rPr>
          <w:rFonts w:ascii="Bookman Old Style" w:hAnsi="Bookman Old Style" w:cs="Arial"/>
          <w:b/>
          <w:spacing w:val="4"/>
          <w:sz w:val="28"/>
          <w:szCs w:val="28"/>
        </w:rPr>
        <w:t xml:space="preserve">odnośnie art. 1 pkt od </w:t>
      </w:r>
      <w:r w:rsidR="00C62B29" w:rsidRPr="00C62B29">
        <w:rPr>
          <w:rFonts w:ascii="Bookman Old Style" w:hAnsi="Bookman Old Style" w:cs="Arial"/>
          <w:b/>
          <w:spacing w:val="4"/>
          <w:sz w:val="28"/>
          <w:szCs w:val="28"/>
        </w:rPr>
        <w:t>5</w:t>
      </w:r>
      <w:r w:rsidR="00643509" w:rsidRPr="00C62B29">
        <w:rPr>
          <w:rFonts w:ascii="Bookman Old Style" w:hAnsi="Bookman Old Style" w:cs="Arial"/>
          <w:b/>
          <w:spacing w:val="4"/>
          <w:sz w:val="28"/>
          <w:szCs w:val="28"/>
        </w:rPr>
        <w:t xml:space="preserve"> do </w:t>
      </w:r>
      <w:r w:rsidR="001049D3">
        <w:rPr>
          <w:rFonts w:ascii="Bookman Old Style" w:hAnsi="Bookman Old Style" w:cs="Arial"/>
          <w:b/>
          <w:spacing w:val="4"/>
          <w:sz w:val="28"/>
          <w:szCs w:val="28"/>
        </w:rPr>
        <w:t>20</w:t>
      </w:r>
      <w:r w:rsidR="00643509" w:rsidRPr="00C62B29">
        <w:rPr>
          <w:rFonts w:ascii="Bookman Old Style" w:hAnsi="Bookman Old Style" w:cs="Arial"/>
          <w:b/>
          <w:spacing w:val="4"/>
          <w:sz w:val="28"/>
          <w:szCs w:val="28"/>
        </w:rPr>
        <w:t xml:space="preserve"> </w:t>
      </w:r>
      <w:r w:rsidR="004E00E8" w:rsidRPr="00C62B29">
        <w:rPr>
          <w:rFonts w:ascii="Bookman Old Style" w:hAnsi="Bookman Old Style" w:cs="Arial"/>
          <w:b/>
          <w:spacing w:val="4"/>
          <w:sz w:val="28"/>
          <w:szCs w:val="28"/>
        </w:rPr>
        <w:t xml:space="preserve">Projektu </w:t>
      </w:r>
      <w:r w:rsidRPr="00C62B29">
        <w:rPr>
          <w:rFonts w:ascii="Bookman Old Style" w:hAnsi="Bookman Old Style" w:cs="Arial"/>
          <w:b/>
          <w:spacing w:val="4"/>
          <w:sz w:val="28"/>
          <w:szCs w:val="28"/>
        </w:rPr>
        <w:t>w zakresie zmian w postępowaniu dyscyplinarnym:</w:t>
      </w:r>
    </w:p>
    <w:p w14:paraId="13B34DAC" w14:textId="77777777" w:rsidR="00461B4F" w:rsidRPr="00C62B29" w:rsidRDefault="00461B4F" w:rsidP="001049D3">
      <w:pPr>
        <w:suppressAutoHyphens/>
        <w:ind w:firstLine="567"/>
        <w:rPr>
          <w:rFonts w:ascii="Bookman Old Style" w:hAnsi="Bookman Old Style"/>
          <w:b/>
        </w:rPr>
      </w:pPr>
      <w:r w:rsidRPr="00C62B29">
        <w:rPr>
          <w:rFonts w:ascii="Bookman Old Style" w:hAnsi="Bookman Old Style"/>
          <w:b/>
        </w:rPr>
        <w:t>Uwagi ogólne.</w:t>
      </w:r>
    </w:p>
    <w:p w14:paraId="60B78C49" w14:textId="040892C9" w:rsidR="00461B4F" w:rsidRPr="00C62B29" w:rsidRDefault="00461B4F" w:rsidP="001049D3">
      <w:pPr>
        <w:widowControl w:val="0"/>
        <w:suppressAutoHyphens/>
        <w:spacing w:line="360" w:lineRule="auto"/>
        <w:ind w:firstLine="567"/>
        <w:jc w:val="both"/>
        <w:rPr>
          <w:rFonts w:ascii="Bookman Old Style" w:hAnsi="Bookman Old Style"/>
        </w:rPr>
      </w:pPr>
      <w:r w:rsidRPr="00C62B29">
        <w:rPr>
          <w:rFonts w:ascii="Bookman Old Style" w:hAnsi="Bookman Old Style"/>
        </w:rPr>
        <w:t>Art. 17 Konstytucji RP pozwala tworzyć samorządy zawodowe, reprezentujące osoby wykonujące zawody zaufania publicznego i</w:t>
      </w:r>
      <w:r w:rsidR="004E00E8" w:rsidRPr="00C62B29">
        <w:rPr>
          <w:rFonts w:ascii="Bookman Old Style" w:hAnsi="Bookman Old Style"/>
        </w:rPr>
        <w:t> </w:t>
      </w:r>
      <w:r w:rsidRPr="00C62B29">
        <w:rPr>
          <w:rFonts w:ascii="Bookman Old Style" w:hAnsi="Bookman Old Style"/>
        </w:rPr>
        <w:t xml:space="preserve">sprawujące pieczę nad należytym wykonywaniem tych zawodów w granicach interesu publicznego i dla jego ochrony. Prawidłowo działający samorząd zawodowy jest wyposażony przez państwo w określone kompetencje, w szczególności sprawowania nadzoru nad prawidłowością wykonywanych przez </w:t>
      </w:r>
      <w:r w:rsidR="001424A1">
        <w:rPr>
          <w:rFonts w:ascii="Bookman Old Style" w:hAnsi="Bookman Old Style"/>
        </w:rPr>
        <w:t>jego</w:t>
      </w:r>
      <w:r w:rsidRPr="00C62B29">
        <w:rPr>
          <w:rFonts w:ascii="Bookman Old Style" w:hAnsi="Bookman Old Style"/>
        </w:rPr>
        <w:t xml:space="preserve"> przedstawicieli zadań. Nadzór ten jest wykonywany między innymi poprzez sądownictwo dyscyplinarne. Co za tym idzie, przyjęty w notariacie model odpowiedzialności dyscyplinarnej znajduje wyraźne potwierdzenie w normie o </w:t>
      </w:r>
      <w:r w:rsidRPr="00C62B29">
        <w:rPr>
          <w:rFonts w:ascii="Bookman Old Style" w:hAnsi="Bookman Old Style"/>
        </w:rPr>
        <w:lastRenderedPageBreak/>
        <w:t>randze konstytucyjnej.</w:t>
      </w:r>
      <w:r w:rsidRPr="00C62B29">
        <w:rPr>
          <w:rStyle w:val="Odwoanieprzypisudolnego"/>
          <w:rFonts w:ascii="Bookman Old Style" w:hAnsi="Bookman Old Style"/>
        </w:rPr>
        <w:footnoteReference w:id="9"/>
      </w:r>
      <w:r w:rsidRPr="00C62B29">
        <w:rPr>
          <w:rFonts w:ascii="Bookman Old Style" w:hAnsi="Bookman Old Style"/>
        </w:rPr>
        <w:t xml:space="preserve"> Realizacja tej normy konstytucyjnej następuje przez określenie w przepisach prawa odpowiedzialności dyscyplinarnej, która również tworzy funkcję ochronną i w ten sposób zapewnia członkom danej korporacji niezbędną swobodę i niezależność przy wykonywaniu zawo</w:t>
      </w:r>
      <w:r w:rsidR="004E00E8" w:rsidRPr="00C62B29">
        <w:rPr>
          <w:rFonts w:ascii="Bookman Old Style" w:hAnsi="Bookman Old Style"/>
        </w:rPr>
        <w:t>du</w:t>
      </w:r>
      <w:r w:rsidRPr="00C62B29">
        <w:rPr>
          <w:rStyle w:val="Odwoanieprzypisudolnego"/>
          <w:rFonts w:ascii="Bookman Old Style" w:hAnsi="Bookman Old Style"/>
        </w:rPr>
        <w:footnoteReference w:id="10"/>
      </w:r>
      <w:r w:rsidR="004E00E8" w:rsidRPr="00C62B29">
        <w:rPr>
          <w:rFonts w:ascii="Bookman Old Style" w:eastAsia="Times New Roman" w:hAnsi="Bookman Old Style"/>
          <w:lang w:eastAsia="pl-PL"/>
        </w:rPr>
        <w:t xml:space="preserve">. </w:t>
      </w:r>
      <w:r w:rsidRPr="00C62B29">
        <w:rPr>
          <w:rFonts w:ascii="Bookman Old Style" w:eastAsia="Times New Roman" w:hAnsi="Bookman Old Style"/>
          <w:lang w:eastAsia="pl-PL"/>
        </w:rPr>
        <w:t>W swoim orzecznictwie Trybunał Konstytucyjny wielokrotnie podkreślał zasadność wprowadzania szczególnej regulacji odpowiedzialności dyscyplinarnej, wskazując, że wyodrębnienie procedur odpowiedzialności dyscyplinarnej i nadanie im – najpierw – pozasądowego charakteru może mieć podstawę w specyfice poszczególnych grup zawodowych oraz ochronie ich autonomii i samorządnośc</w:t>
      </w:r>
      <w:r w:rsidR="004E00E8" w:rsidRPr="00C62B29">
        <w:rPr>
          <w:rFonts w:ascii="Bookman Old Style" w:eastAsia="Times New Roman" w:hAnsi="Bookman Old Style"/>
          <w:lang w:eastAsia="pl-PL"/>
        </w:rPr>
        <w:t>i</w:t>
      </w:r>
      <w:r w:rsidRPr="00C62B29">
        <w:rPr>
          <w:rStyle w:val="Odwoanieprzypisudolnego"/>
          <w:rFonts w:ascii="Bookman Old Style" w:eastAsia="Times New Roman" w:hAnsi="Bookman Old Style"/>
          <w:lang w:eastAsia="pl-PL"/>
        </w:rPr>
        <w:footnoteReference w:id="11"/>
      </w:r>
      <w:r w:rsidR="004E00E8" w:rsidRPr="00C62B29">
        <w:rPr>
          <w:rFonts w:ascii="Bookman Old Style" w:eastAsia="Times New Roman" w:hAnsi="Bookman Old Style"/>
          <w:lang w:eastAsia="pl-PL"/>
        </w:rPr>
        <w:t>.</w:t>
      </w:r>
      <w:r w:rsidRPr="00C62B29">
        <w:rPr>
          <w:rFonts w:ascii="Bookman Old Style" w:eastAsia="Times New Roman" w:hAnsi="Bookman Old Style"/>
          <w:lang w:eastAsia="pl-PL"/>
        </w:rPr>
        <w:t xml:space="preserve"> Tym samym regulacje związane ze wzmacnianiem nadzoru państwa kosztem samorządu notarialnego powinny być wprowadzane z dużą ostrożnością, tak by nie naruszyć równowagi pomiędzy nadzorem Ministra Sprawiedliwości a autonomią samorządu notarialnego, w szczególności nadzór ten nie powinien być dowolnie rozszerzany na inne niż wskazane w ustawie ustrojowej podmioty.</w:t>
      </w:r>
    </w:p>
    <w:p w14:paraId="7C8DAD53" w14:textId="1FBB08DA" w:rsidR="00461B4F" w:rsidRPr="00C62B29" w:rsidRDefault="00461B4F" w:rsidP="001049D3">
      <w:pPr>
        <w:suppressAutoHyphens/>
        <w:ind w:firstLine="567"/>
        <w:rPr>
          <w:rFonts w:ascii="Bookman Old Style" w:hAnsi="Bookman Old Style"/>
          <w:b/>
        </w:rPr>
      </w:pPr>
      <w:r w:rsidRPr="00C62B29">
        <w:rPr>
          <w:rFonts w:ascii="Bookman Old Style" w:hAnsi="Bookman Old Style"/>
          <w:b/>
        </w:rPr>
        <w:t>Uwagi szczegółowe co do postępowania dyscyplinarnego.</w:t>
      </w:r>
    </w:p>
    <w:p w14:paraId="623F3D11" w14:textId="77777777" w:rsidR="00461B4F" w:rsidRPr="00C62B29" w:rsidRDefault="004E00E8" w:rsidP="001049D3">
      <w:pPr>
        <w:pStyle w:val="ZUSTzmustartykuempunktem"/>
        <w:rPr>
          <w:rFonts w:ascii="Bookman Old Style" w:hAnsi="Bookman Old Style"/>
          <w:b/>
        </w:rPr>
      </w:pPr>
      <w:r w:rsidRPr="00C62B29">
        <w:rPr>
          <w:rFonts w:ascii="Bookman Old Style" w:hAnsi="Bookman Old Style"/>
          <w:b/>
        </w:rPr>
        <w:t>1</w:t>
      </w:r>
      <w:r w:rsidR="00461B4F" w:rsidRPr="00C62B29">
        <w:rPr>
          <w:rFonts w:ascii="Bookman Old Style" w:hAnsi="Bookman Old Style"/>
          <w:b/>
        </w:rPr>
        <w:t>)</w:t>
      </w:r>
      <w:r w:rsidRPr="00C62B29">
        <w:rPr>
          <w:rFonts w:ascii="Bookman Old Style" w:hAnsi="Bookman Old Style"/>
          <w:b/>
        </w:rPr>
        <w:t xml:space="preserve"> odnośnie art. 1 pkt 7 Projektu</w:t>
      </w:r>
      <w:r w:rsidR="00461B4F" w:rsidRPr="00C62B29">
        <w:rPr>
          <w:rFonts w:ascii="Bookman Old Style" w:hAnsi="Bookman Old Style"/>
          <w:b/>
        </w:rPr>
        <w:t>.</w:t>
      </w:r>
    </w:p>
    <w:p w14:paraId="2F168F04" w14:textId="4D819D58" w:rsidR="00461B4F" w:rsidRPr="00C62B29" w:rsidRDefault="00461B4F" w:rsidP="001049D3">
      <w:pPr>
        <w:pStyle w:val="ZUSTzmustartykuempunktem"/>
        <w:ind w:left="0" w:firstLine="567"/>
        <w:rPr>
          <w:rFonts w:ascii="Bookman Old Style" w:hAnsi="Bookman Old Style"/>
        </w:rPr>
      </w:pPr>
      <w:r w:rsidRPr="00C62B29">
        <w:rPr>
          <w:rFonts w:ascii="Bookman Old Style" w:hAnsi="Bookman Old Style"/>
        </w:rPr>
        <w:t xml:space="preserve">W projektowanej ustawie wprowadzono rozwinięcie, z którego </w:t>
      </w:r>
      <w:r w:rsidR="007E6334" w:rsidRPr="00C62B29">
        <w:rPr>
          <w:rFonts w:ascii="Bookman Old Style" w:hAnsi="Bookman Old Style"/>
        </w:rPr>
        <w:t>wynika,</w:t>
      </w:r>
      <w:r w:rsidRPr="00C62B29">
        <w:rPr>
          <w:rFonts w:ascii="Bookman Old Style" w:hAnsi="Bookman Old Style"/>
        </w:rPr>
        <w:t xml:space="preserve"> że Minister Sprawiedliwości może delegować swoje kompetencje do nadzoru na prezesów sądów apelacyjnych lub prezesów sądów okręgowych (co stanowi jedynie zmianę czysto redakcyjną, wynikającą ze zmiany struktury s</w:t>
      </w:r>
      <w:r w:rsidR="00A742F3" w:rsidRPr="00C62B29">
        <w:rPr>
          <w:rFonts w:ascii="Bookman Old Style" w:hAnsi="Bookman Old Style"/>
        </w:rPr>
        <w:t>ą</w:t>
      </w:r>
      <w:r w:rsidRPr="00C62B29">
        <w:rPr>
          <w:rFonts w:ascii="Bookman Old Style" w:hAnsi="Bookman Old Style"/>
        </w:rPr>
        <w:t xml:space="preserve">dów powszechnych), ale także sędziów i referendarzy sądowych delegowanych do Ministerstwa Sprawiedliwości oraz prokuratorów delegowanych do Ministerstwa Sprawiedliwości. Nie jest jasne na czym miałby polegać nadzór prokuratorów nad notariatem, skoro kompetencje notariuszy i prokuratorów nie są w żaden sposób zbliżone. </w:t>
      </w:r>
    </w:p>
    <w:p w14:paraId="0F795E21" w14:textId="77777777" w:rsidR="00461B4F" w:rsidRPr="00C62B29" w:rsidRDefault="004E00E8" w:rsidP="001049D3">
      <w:pPr>
        <w:pStyle w:val="PKTpunkt"/>
        <w:keepNext/>
        <w:suppressAutoHyphens/>
        <w:ind w:left="567" w:firstLine="0"/>
        <w:rPr>
          <w:rFonts w:ascii="Bookman Old Style" w:hAnsi="Bookman Old Style"/>
          <w:b/>
          <w:strike/>
        </w:rPr>
      </w:pPr>
      <w:r w:rsidRPr="00C62B29">
        <w:rPr>
          <w:rFonts w:ascii="Bookman Old Style" w:hAnsi="Bookman Old Style"/>
          <w:b/>
        </w:rPr>
        <w:lastRenderedPageBreak/>
        <w:t xml:space="preserve">2) </w:t>
      </w:r>
      <w:r w:rsidR="007C5E58" w:rsidRPr="00C62B29">
        <w:rPr>
          <w:rFonts w:ascii="Bookman Old Style" w:hAnsi="Bookman Old Style"/>
          <w:b/>
        </w:rPr>
        <w:t>odnośnie art. 1 pkt 10 Projektu.</w:t>
      </w:r>
    </w:p>
    <w:p w14:paraId="3E1CCB04" w14:textId="36D2C38A" w:rsidR="00461B4F" w:rsidRPr="00C62B29" w:rsidRDefault="00461B4F" w:rsidP="001049D3">
      <w:pPr>
        <w:pStyle w:val="ZUSTzmustartykuempunktem"/>
        <w:ind w:left="0"/>
        <w:rPr>
          <w:rFonts w:ascii="Bookman Old Style" w:hAnsi="Bookman Old Style"/>
        </w:rPr>
      </w:pPr>
      <w:r w:rsidRPr="00C62B29">
        <w:rPr>
          <w:rFonts w:ascii="Bookman Old Style" w:hAnsi="Bookman Old Style"/>
        </w:rPr>
        <w:t xml:space="preserve">Zważywszy na wprowadzony ustawą z 2.12.2016 r. (Dz.U. z 2016 r. poz. 2175 ze zm.), 5-letni okres przedawnienia, a także biorąc pod uwagę zasadę szybkości postępowania dyscyplinarnego wynikającą z art. 59 </w:t>
      </w:r>
      <w:r w:rsidR="007E6334" w:rsidRPr="00C62B29">
        <w:rPr>
          <w:rFonts w:ascii="Bookman Old Style" w:hAnsi="Bookman Old Style"/>
        </w:rPr>
        <w:t>§ 2</w:t>
      </w:r>
      <w:r w:rsidRPr="00C62B29">
        <w:rPr>
          <w:rFonts w:ascii="Bookman Old Style" w:hAnsi="Bookman Old Style"/>
        </w:rPr>
        <w:t xml:space="preserve"> pr</w:t>
      </w:r>
      <w:r w:rsidR="007C5E58" w:rsidRPr="00C62B29">
        <w:rPr>
          <w:rFonts w:ascii="Bookman Old Style" w:hAnsi="Bookman Old Style"/>
        </w:rPr>
        <w:t>. not.</w:t>
      </w:r>
      <w:r w:rsidRPr="00C62B29">
        <w:rPr>
          <w:rFonts w:ascii="Bookman Old Style" w:hAnsi="Bookman Old Style"/>
        </w:rPr>
        <w:t xml:space="preserve">, nie ma potrzeby dalszego przedłużania terminów przedawnienia (który w historii tej ustawy był wydłużany już 2-krotnie). </w:t>
      </w:r>
      <w:r w:rsidR="00897FFD" w:rsidRPr="00C62B29">
        <w:rPr>
          <w:rFonts w:ascii="Bookman Old Style" w:hAnsi="Bookman Old Style"/>
        </w:rPr>
        <w:t>Biorąc</w:t>
      </w:r>
      <w:r w:rsidRPr="00C62B29">
        <w:rPr>
          <w:rFonts w:ascii="Bookman Old Style" w:hAnsi="Bookman Old Style"/>
        </w:rPr>
        <w:t xml:space="preserve"> pod uwagę</w:t>
      </w:r>
      <w:r w:rsidR="00F804F1" w:rsidRPr="00C62B29">
        <w:rPr>
          <w:rFonts w:ascii="Bookman Old Style" w:hAnsi="Bookman Old Style"/>
        </w:rPr>
        <w:t xml:space="preserve"> </w:t>
      </w:r>
      <w:r w:rsidR="00483495" w:rsidRPr="00C62B29">
        <w:rPr>
          <w:rFonts w:ascii="Bookman Old Style" w:hAnsi="Bookman Old Style"/>
        </w:rPr>
        <w:t xml:space="preserve">różnorodność </w:t>
      </w:r>
      <w:r w:rsidRPr="00C62B29">
        <w:rPr>
          <w:rFonts w:ascii="Bookman Old Style" w:hAnsi="Bookman Old Style"/>
        </w:rPr>
        <w:t xml:space="preserve">spraw dyscyplinarnych, mogą sporadycznie zdarzyć się </w:t>
      </w:r>
      <w:r w:rsidR="005C7C1D" w:rsidRPr="00C62B29">
        <w:rPr>
          <w:rFonts w:ascii="Bookman Old Style" w:hAnsi="Bookman Old Style"/>
        </w:rPr>
        <w:t>postępowania</w:t>
      </w:r>
      <w:r w:rsidRPr="00C62B29">
        <w:rPr>
          <w:rFonts w:ascii="Bookman Old Style" w:hAnsi="Bookman Old Style"/>
        </w:rPr>
        <w:t>, których prawomocne zakończenie nie będzie możliwe w 5-letnim okresie. Zmianę tę należy zatem co do zasady zaopiniować pozytywnie. Niemniej zbędn</w:t>
      </w:r>
      <w:r w:rsidR="007C5E58" w:rsidRPr="00C62B29">
        <w:rPr>
          <w:rFonts w:ascii="Bookman Old Style" w:hAnsi="Bookman Old Style"/>
        </w:rPr>
        <w:t>y</w:t>
      </w:r>
      <w:r w:rsidRPr="00C62B29">
        <w:rPr>
          <w:rFonts w:ascii="Bookman Old Style" w:hAnsi="Bookman Old Style"/>
        </w:rPr>
        <w:t xml:space="preserve"> jest </w:t>
      </w:r>
      <w:r w:rsidR="007C5E58" w:rsidRPr="00C62B29">
        <w:rPr>
          <w:rFonts w:ascii="Bookman Old Style" w:hAnsi="Bookman Old Style"/>
        </w:rPr>
        <w:t>§ 4 projektowanego art. 53 pr. not.</w:t>
      </w:r>
      <w:r w:rsidRPr="00C62B29">
        <w:rPr>
          <w:rFonts w:ascii="Bookman Old Style" w:hAnsi="Bookman Old Style"/>
        </w:rPr>
        <w:t xml:space="preserve"> Każde postępowanie dyscyplinarne będzie się wiązało z jednokrotnym wszczęciem dochodzenia oraz w konsekwencji </w:t>
      </w:r>
      <w:r w:rsidR="00897FFD" w:rsidRPr="00C62B29">
        <w:rPr>
          <w:rFonts w:ascii="Bookman Old Style" w:hAnsi="Bookman Old Style"/>
        </w:rPr>
        <w:t xml:space="preserve">z ewentualnym </w:t>
      </w:r>
      <w:r w:rsidRPr="00C62B29">
        <w:rPr>
          <w:rFonts w:ascii="Bookman Old Style" w:hAnsi="Bookman Old Style"/>
        </w:rPr>
        <w:t>złożeniem wniosku o wszczęcie post</w:t>
      </w:r>
      <w:r w:rsidR="00897FFD" w:rsidRPr="00C62B29">
        <w:rPr>
          <w:rFonts w:ascii="Bookman Old Style" w:hAnsi="Bookman Old Style"/>
        </w:rPr>
        <w:t>ę</w:t>
      </w:r>
      <w:r w:rsidRPr="00C62B29">
        <w:rPr>
          <w:rFonts w:ascii="Bookman Old Style" w:hAnsi="Bookman Old Style"/>
        </w:rPr>
        <w:t>powania dyscyplinarnego. Gdyby ten przepis rozumieć dosłownie, sprawa dyscyplinarna mogłaby trwać nawet 15 lat</w:t>
      </w:r>
      <w:r w:rsidR="00897FFD" w:rsidRPr="00C62B29">
        <w:rPr>
          <w:rFonts w:ascii="Bookman Old Style" w:hAnsi="Bookman Old Style"/>
        </w:rPr>
        <w:t xml:space="preserve"> albo i dłużej</w:t>
      </w:r>
      <w:r w:rsidRPr="00C62B29">
        <w:rPr>
          <w:rFonts w:ascii="Bookman Old Style" w:hAnsi="Bookman Old Style"/>
        </w:rPr>
        <w:t xml:space="preserve">, co mając na uwadze charakter postępowania dyscyplinarnego, byłoby terminem nadmiernie długim, przekraczającym nawet niektóre terminy przedawnienia w postępowaniu karnym (co jest systemowo nieprawidłowe). </w:t>
      </w:r>
      <w:r w:rsidRPr="00C62B29">
        <w:rPr>
          <w:rFonts w:ascii="Bookman Old Style" w:hAnsi="Bookman Old Style"/>
          <w:u w:val="single"/>
        </w:rPr>
        <w:t xml:space="preserve">Dlatego </w:t>
      </w:r>
      <w:r w:rsidR="007C5E58" w:rsidRPr="00C62B29">
        <w:rPr>
          <w:rFonts w:ascii="Bookman Old Style" w:hAnsi="Bookman Old Style"/>
          <w:u w:val="single"/>
        </w:rPr>
        <w:t>SNRP postuluje skreślenie § 4 w projektowanym art. 53 pr.not.</w:t>
      </w:r>
      <w:r w:rsidRPr="00C62B29">
        <w:rPr>
          <w:rFonts w:ascii="Bookman Old Style" w:hAnsi="Bookman Old Style"/>
        </w:rPr>
        <w:t xml:space="preserve"> </w:t>
      </w:r>
    </w:p>
    <w:p w14:paraId="71A526AD" w14:textId="77777777" w:rsidR="007C5E58" w:rsidRPr="00C62B29" w:rsidRDefault="007C5E58" w:rsidP="001049D3">
      <w:pPr>
        <w:pStyle w:val="ZARTzmartartykuempunktem"/>
        <w:rPr>
          <w:rFonts w:ascii="Bookman Old Style" w:hAnsi="Bookman Old Style"/>
          <w:b/>
        </w:rPr>
      </w:pPr>
      <w:r w:rsidRPr="00C62B29">
        <w:rPr>
          <w:rFonts w:ascii="Bookman Old Style" w:hAnsi="Bookman Old Style"/>
          <w:b/>
        </w:rPr>
        <w:t>3) odnośnie art. 1 pkt 11 Projektu.</w:t>
      </w:r>
    </w:p>
    <w:p w14:paraId="67C9ACF6" w14:textId="5C23AAE1" w:rsidR="00461B4F" w:rsidRPr="00C62B29" w:rsidRDefault="00461B4F" w:rsidP="001049D3">
      <w:pPr>
        <w:suppressAutoHyphens/>
        <w:spacing w:line="360" w:lineRule="auto"/>
        <w:ind w:firstLine="510"/>
        <w:jc w:val="both"/>
        <w:rPr>
          <w:rFonts w:ascii="Bookman Old Style" w:hAnsi="Bookman Old Style"/>
        </w:rPr>
      </w:pPr>
      <w:r w:rsidRPr="00C62B29">
        <w:rPr>
          <w:rFonts w:ascii="Bookman Old Style" w:hAnsi="Bookman Old Style"/>
        </w:rPr>
        <w:t>Pozytywnie należy ocenić uznanie za stronę postępowania dyscyplinarnego podmiot, który złożył wniosek o wszczęcie postępowania dyscyplinarnego. Pozwoli to radom właściwych izb notarialnych na uczestniczenie w postępowaniu dyscyplinarnym. Dotychczasowe rozwiązania, zgodnie z którymi rada izby po złożeniu wniosku o wszczęcie postępowania dyscyplinarnego, traciła jakikolwiek wpływ na przebieg tego postępowania należy uznać za wadliwe</w:t>
      </w:r>
      <w:r w:rsidRPr="00C62B29">
        <w:rPr>
          <w:rStyle w:val="Odwoanieprzypisudolnego"/>
          <w:rFonts w:ascii="Bookman Old Style" w:hAnsi="Bookman Old Style"/>
        </w:rPr>
        <w:footnoteReference w:id="12"/>
      </w:r>
      <w:r w:rsidR="007C5E58" w:rsidRPr="00C62B29">
        <w:rPr>
          <w:rFonts w:ascii="Bookman Old Style" w:hAnsi="Bookman Old Style"/>
        </w:rPr>
        <w:t>.</w:t>
      </w:r>
      <w:r w:rsidRPr="00C62B29">
        <w:rPr>
          <w:rFonts w:ascii="Bookman Old Style" w:hAnsi="Bookman Old Style"/>
        </w:rPr>
        <w:t xml:space="preserve"> Nie jest jasne sformułowanie wskazane w § 2</w:t>
      </w:r>
      <w:r w:rsidR="007C5E58" w:rsidRPr="00C62B29">
        <w:rPr>
          <w:rFonts w:ascii="Bookman Old Style" w:hAnsi="Bookman Old Style"/>
        </w:rPr>
        <w:t xml:space="preserve"> projektowanego ar</w:t>
      </w:r>
      <w:r w:rsidR="005C7C1D" w:rsidRPr="00C62B29">
        <w:rPr>
          <w:rFonts w:ascii="Bookman Old Style" w:hAnsi="Bookman Old Style"/>
        </w:rPr>
        <w:t>t</w:t>
      </w:r>
      <w:r w:rsidR="007C5E58" w:rsidRPr="00C62B29">
        <w:rPr>
          <w:rFonts w:ascii="Bookman Old Style" w:hAnsi="Bookman Old Style"/>
        </w:rPr>
        <w:t>. 55a pr.not.</w:t>
      </w:r>
      <w:r w:rsidRPr="00C62B29">
        <w:rPr>
          <w:rFonts w:ascii="Bookman Old Style" w:hAnsi="Bookman Old Style"/>
        </w:rPr>
        <w:t xml:space="preserve">, zgodnie z </w:t>
      </w:r>
      <w:r w:rsidR="007E6334" w:rsidRPr="00C62B29">
        <w:rPr>
          <w:rFonts w:ascii="Bookman Old Style" w:hAnsi="Bookman Old Style"/>
        </w:rPr>
        <w:t>którym jako</w:t>
      </w:r>
      <w:r w:rsidRPr="00C62B29">
        <w:rPr>
          <w:rFonts w:ascii="Bookman Old Style" w:hAnsi="Bookman Old Style"/>
        </w:rPr>
        <w:t xml:space="preserve"> oskarżyciel w postępowaniu dyscyplinarnym może występować Minister Sprawiedliwości lub</w:t>
      </w:r>
      <w:r w:rsidRPr="00C62B29">
        <w:rPr>
          <w:rFonts w:ascii="Bookman Old Style" w:hAnsi="Bookman Old Style"/>
          <w:b/>
        </w:rPr>
        <w:t xml:space="preserve"> </w:t>
      </w:r>
      <w:r w:rsidRPr="00C62B29">
        <w:rPr>
          <w:rFonts w:ascii="Bookman Old Style" w:hAnsi="Bookman Old Style"/>
        </w:rPr>
        <w:t>organ samorządu notarialnego. Wskazan</w:t>
      </w:r>
      <w:r w:rsidR="005376B0" w:rsidRPr="00C62B29">
        <w:rPr>
          <w:rFonts w:ascii="Bookman Old Style" w:hAnsi="Bookman Old Style"/>
        </w:rPr>
        <w:t>i</w:t>
      </w:r>
      <w:r w:rsidRPr="00C62B29">
        <w:rPr>
          <w:rFonts w:ascii="Bookman Old Style" w:hAnsi="Bookman Old Style"/>
        </w:rPr>
        <w:t xml:space="preserve">e w tym przepisie </w:t>
      </w:r>
      <w:r w:rsidR="005376B0" w:rsidRPr="00C62B29">
        <w:rPr>
          <w:rFonts w:ascii="Bookman Old Style" w:hAnsi="Bookman Old Style"/>
        </w:rPr>
        <w:t xml:space="preserve">w </w:t>
      </w:r>
      <w:r w:rsidRPr="00C62B29">
        <w:rPr>
          <w:rFonts w:ascii="Bookman Old Style" w:hAnsi="Bookman Old Style"/>
        </w:rPr>
        <w:t>zdani</w:t>
      </w:r>
      <w:r w:rsidR="005376B0" w:rsidRPr="00C62B29">
        <w:rPr>
          <w:rFonts w:ascii="Bookman Old Style" w:hAnsi="Bookman Old Style"/>
        </w:rPr>
        <w:t>u</w:t>
      </w:r>
      <w:r w:rsidRPr="00C62B29">
        <w:rPr>
          <w:rFonts w:ascii="Bookman Old Style" w:hAnsi="Bookman Old Style"/>
        </w:rPr>
        <w:t xml:space="preserve"> drugi</w:t>
      </w:r>
      <w:r w:rsidR="005376B0" w:rsidRPr="00C62B29">
        <w:rPr>
          <w:rFonts w:ascii="Bookman Old Style" w:hAnsi="Bookman Old Style"/>
        </w:rPr>
        <w:t>m</w:t>
      </w:r>
      <w:r w:rsidRPr="00C62B29">
        <w:rPr>
          <w:rFonts w:ascii="Bookman Old Style" w:hAnsi="Bookman Old Style"/>
        </w:rPr>
        <w:t xml:space="preserve"> sugeruje, że w jednym postępowaniu może występować niezależnie dwóch oskarżycieli, z których każdy ma status oskarżyciela „publicznego”, nie działają oni bowiem jako oskarżyciele posiłkowi. Tego typu rozwiązanie w </w:t>
      </w:r>
      <w:r w:rsidRPr="00C62B29">
        <w:rPr>
          <w:rFonts w:ascii="Bookman Old Style" w:hAnsi="Bookman Old Style"/>
        </w:rPr>
        <w:lastRenderedPageBreak/>
        <w:t xml:space="preserve">praktyce może spowodować chaos w toczącym się postępowaniu – każdy z nich może dążyć do innego rozwiązania procesowego, składać inne wnioski, czy wreszcie – jeden z nich – będący autorem wniosku o wszczęcie postępowania, może cofnąć wniosek przed rozpoczęciem </w:t>
      </w:r>
      <w:r w:rsidR="007E6334" w:rsidRPr="00C62B29">
        <w:rPr>
          <w:rFonts w:ascii="Bookman Old Style" w:hAnsi="Bookman Old Style"/>
        </w:rPr>
        <w:t>przewodu</w:t>
      </w:r>
      <w:r w:rsidRPr="00C62B29">
        <w:rPr>
          <w:rFonts w:ascii="Bookman Old Style" w:hAnsi="Bookman Old Style"/>
        </w:rPr>
        <w:t xml:space="preserve"> lub za zgodą obwinionego – po jego rozpoczęciu (art. 14 k</w:t>
      </w:r>
      <w:r w:rsidR="007C5E58" w:rsidRPr="00C62B29">
        <w:rPr>
          <w:rFonts w:ascii="Bookman Old Style" w:hAnsi="Bookman Old Style"/>
        </w:rPr>
        <w:t>.</w:t>
      </w:r>
      <w:r w:rsidRPr="00C62B29">
        <w:rPr>
          <w:rFonts w:ascii="Bookman Old Style" w:hAnsi="Bookman Old Style"/>
        </w:rPr>
        <w:t>p</w:t>
      </w:r>
      <w:r w:rsidR="007C5E58" w:rsidRPr="00C62B29">
        <w:rPr>
          <w:rFonts w:ascii="Bookman Old Style" w:hAnsi="Bookman Old Style"/>
        </w:rPr>
        <w:t>.</w:t>
      </w:r>
      <w:r w:rsidRPr="00C62B29">
        <w:rPr>
          <w:rFonts w:ascii="Bookman Old Style" w:hAnsi="Bookman Old Style"/>
        </w:rPr>
        <w:t>k</w:t>
      </w:r>
      <w:r w:rsidR="007C5E58" w:rsidRPr="00C62B29">
        <w:rPr>
          <w:rFonts w:ascii="Bookman Old Style" w:hAnsi="Bookman Old Style"/>
        </w:rPr>
        <w:t>.</w:t>
      </w:r>
      <w:r w:rsidRPr="00C62B29">
        <w:rPr>
          <w:rFonts w:ascii="Bookman Old Style" w:hAnsi="Bookman Old Style"/>
        </w:rPr>
        <w:t xml:space="preserve">). Tego typu rozwiązanie nie wpłynie też pozytywnie na zasadę szybkości postępowania. </w:t>
      </w:r>
      <w:r w:rsidR="007C5E58" w:rsidRPr="00C62B29">
        <w:rPr>
          <w:rFonts w:ascii="Bookman Old Style" w:hAnsi="Bookman Old Style"/>
        </w:rPr>
        <w:t>C</w:t>
      </w:r>
      <w:r w:rsidRPr="00C62B29">
        <w:rPr>
          <w:rFonts w:ascii="Bookman Old Style" w:hAnsi="Bookman Old Style"/>
        </w:rPr>
        <w:t xml:space="preserve">elowym jest wprowadzenie takich rozwiązań, zgodnie z którymi w postępowaniu dyscyplinarnym występuje jeden oskarżyciel. </w:t>
      </w:r>
    </w:p>
    <w:p w14:paraId="3EFD4BC8" w14:textId="4A0B7DB0" w:rsidR="00461B4F" w:rsidRPr="00C62B29" w:rsidRDefault="00461B4F" w:rsidP="001049D3">
      <w:pPr>
        <w:suppressAutoHyphens/>
        <w:spacing w:line="360" w:lineRule="auto"/>
        <w:ind w:firstLine="510"/>
        <w:jc w:val="both"/>
        <w:rPr>
          <w:rFonts w:ascii="Bookman Old Style" w:eastAsia="Times New Roman" w:hAnsi="Bookman Old Style"/>
          <w:lang w:eastAsia="pl-PL"/>
        </w:rPr>
      </w:pPr>
      <w:r w:rsidRPr="00C62B29">
        <w:rPr>
          <w:rFonts w:ascii="Bookman Old Style" w:hAnsi="Bookman Old Style"/>
        </w:rPr>
        <w:t xml:space="preserve">Drugą kwestią jest wskazanie jako oskarżyciela organu samorządu. Ustawa nie definiuje pojęcia organu samorządu. Jedynie art. 26 </w:t>
      </w:r>
      <w:r w:rsidR="007C5E58" w:rsidRPr="00C62B29">
        <w:rPr>
          <w:rFonts w:ascii="Bookman Old Style" w:hAnsi="Bookman Old Style"/>
        </w:rPr>
        <w:t xml:space="preserve">pr.not. </w:t>
      </w:r>
      <w:r w:rsidRPr="00C62B29">
        <w:rPr>
          <w:rFonts w:ascii="Bookman Old Style" w:hAnsi="Bookman Old Style"/>
        </w:rPr>
        <w:t>wskazuje, że n</w:t>
      </w:r>
      <w:r w:rsidRPr="00C62B29">
        <w:rPr>
          <w:rFonts w:ascii="Bookman Old Style" w:eastAsia="Times New Roman" w:hAnsi="Bookman Old Style"/>
          <w:lang w:eastAsia="pl-PL"/>
        </w:rPr>
        <w:t xml:space="preserve">otariusze tworzą samorząd notarialny, a samorząd notarialny obejmuje izby notarialne i Krajową Radę Notarialną, przy czym zgodnie z art. 27 </w:t>
      </w:r>
      <w:r w:rsidR="007C5E58" w:rsidRPr="00C62B29">
        <w:rPr>
          <w:rFonts w:ascii="Bookman Old Style" w:eastAsia="Times New Roman" w:hAnsi="Bookman Old Style"/>
          <w:lang w:eastAsia="pl-PL"/>
        </w:rPr>
        <w:t>pr.not.</w:t>
      </w:r>
      <w:r w:rsidR="007E6334" w:rsidRPr="00C62B29">
        <w:rPr>
          <w:rFonts w:ascii="Bookman Old Style" w:eastAsia="Times New Roman" w:hAnsi="Bookman Old Style"/>
          <w:lang w:eastAsia="pl-PL"/>
        </w:rPr>
        <w:t xml:space="preserve"> </w:t>
      </w:r>
      <w:r w:rsidRPr="00C62B29">
        <w:rPr>
          <w:rFonts w:ascii="Bookman Old Style" w:hAnsi="Bookman Old Style"/>
        </w:rPr>
        <w:t xml:space="preserve">organami izby notarialnej są walne zgromadzenie notariuszy izby oraz rada izby notarialnej. Tym samym niejasne jest o jaki podmiot chodzi. Z uwagi na to, że podmiotem inicjującym postępowanie jest w większości przypadków rada izby, </w:t>
      </w:r>
      <w:r w:rsidR="007C5E58" w:rsidRPr="00C62B29">
        <w:rPr>
          <w:rFonts w:ascii="Bookman Old Style" w:hAnsi="Bookman Old Style"/>
        </w:rPr>
        <w:t xml:space="preserve">SNRP </w:t>
      </w:r>
      <w:r w:rsidRPr="00C62B29">
        <w:rPr>
          <w:rFonts w:ascii="Bookman Old Style" w:hAnsi="Bookman Old Style"/>
        </w:rPr>
        <w:t xml:space="preserve">proponuje rozwiązanie, by w miejsce „organu samorządu” wpisać ten podmiot, przy czym z uwagi na to, że jest to organ kolegialny – by był to „członek rady izby wyznaczony przez właściwą radę izby notarialnej”. </w:t>
      </w:r>
    </w:p>
    <w:p w14:paraId="16511F82" w14:textId="77777777" w:rsidR="007C5E58" w:rsidRPr="00C62B29" w:rsidRDefault="007C5E58" w:rsidP="001049D3">
      <w:pPr>
        <w:pStyle w:val="ZUSTzmustartykuempunktem"/>
        <w:ind w:firstLine="57"/>
        <w:rPr>
          <w:rFonts w:ascii="Bookman Old Style" w:hAnsi="Bookman Old Style"/>
          <w:b/>
        </w:rPr>
      </w:pPr>
      <w:r w:rsidRPr="00C62B29">
        <w:rPr>
          <w:rFonts w:ascii="Bookman Old Style" w:hAnsi="Bookman Old Style"/>
          <w:b/>
        </w:rPr>
        <w:t>4) odnośnie art. 1 pkt 12 Projektu.</w:t>
      </w:r>
    </w:p>
    <w:p w14:paraId="41328EA0" w14:textId="77777777" w:rsidR="00897FFD" w:rsidRPr="00C62B29" w:rsidRDefault="00461B4F" w:rsidP="001049D3">
      <w:pPr>
        <w:pStyle w:val="ZUSTzmustartykuempunktem"/>
        <w:ind w:left="0" w:firstLine="567"/>
        <w:rPr>
          <w:rFonts w:ascii="Bookman Old Style" w:hAnsi="Bookman Old Style"/>
        </w:rPr>
      </w:pPr>
      <w:r w:rsidRPr="00C62B29">
        <w:rPr>
          <w:rFonts w:ascii="Bookman Old Style" w:hAnsi="Bookman Old Style"/>
        </w:rPr>
        <w:t>Z uwagi na to, że nadzór nad notariatem – obok Ministra Sprawiedliwości - jest wykonywany również przez rady izb notarialnych postulujemy, aby miały one również tę kompetencję.</w:t>
      </w:r>
      <w:r w:rsidR="00897FFD" w:rsidRPr="00C62B29">
        <w:rPr>
          <w:rFonts w:ascii="Bookman Old Style" w:hAnsi="Bookman Old Style"/>
        </w:rPr>
        <w:t xml:space="preserve"> W obowiązującym stanie prawnym rola rady izby notarialnej w zakresie postępowania dyscyplinarnego ogranicza się do podjęcia uchwały zawierającej wniosek o wszczęcie postępowania dyscyplinarnego, zaś po jego złożeniu traci ona całkowicie wpływ na dalszy jego bieg. </w:t>
      </w:r>
    </w:p>
    <w:p w14:paraId="4B966624" w14:textId="77777777" w:rsidR="00461B4F" w:rsidRPr="00C62B29" w:rsidRDefault="00095FBC" w:rsidP="001049D3">
      <w:pPr>
        <w:pStyle w:val="ZUSTzmustartykuempunktem"/>
        <w:ind w:firstLine="57"/>
        <w:rPr>
          <w:rFonts w:ascii="Bookman Old Style" w:hAnsi="Bookman Old Style"/>
          <w:b/>
        </w:rPr>
      </w:pPr>
      <w:r w:rsidRPr="00C62B29">
        <w:rPr>
          <w:rFonts w:ascii="Bookman Old Style" w:hAnsi="Bookman Old Style"/>
          <w:b/>
        </w:rPr>
        <w:t>5) odnośnie art. 1 pkt 16 Projektu</w:t>
      </w:r>
    </w:p>
    <w:p w14:paraId="63D960FF" w14:textId="5F98DBCB" w:rsidR="00461B4F" w:rsidRPr="00C62B29" w:rsidRDefault="00461B4F" w:rsidP="001049D3">
      <w:pPr>
        <w:pStyle w:val="ZARTzmartartykuempunktem"/>
        <w:ind w:left="0" w:firstLine="567"/>
        <w:rPr>
          <w:rFonts w:ascii="Bookman Old Style" w:hAnsi="Bookman Old Style"/>
        </w:rPr>
      </w:pPr>
      <w:r w:rsidRPr="00C62B29">
        <w:rPr>
          <w:rFonts w:ascii="Bookman Old Style" w:hAnsi="Bookman Old Style"/>
        </w:rPr>
        <w:t xml:space="preserve">Rozwiązanie </w:t>
      </w:r>
      <w:r w:rsidR="00095FBC" w:rsidRPr="00C62B29">
        <w:rPr>
          <w:rFonts w:ascii="Bookman Old Style" w:hAnsi="Bookman Old Style"/>
        </w:rPr>
        <w:t xml:space="preserve">przyjęte w projektowanym art. 67 § 2 pr.not. </w:t>
      </w:r>
      <w:r w:rsidRPr="00C62B29">
        <w:rPr>
          <w:rFonts w:ascii="Bookman Old Style" w:hAnsi="Bookman Old Style"/>
        </w:rPr>
        <w:t xml:space="preserve">należy ocenić negatywnie </w:t>
      </w:r>
      <w:r w:rsidR="005376B0" w:rsidRPr="00C62B29">
        <w:rPr>
          <w:rFonts w:ascii="Bookman Old Style" w:hAnsi="Bookman Old Style"/>
        </w:rPr>
        <w:t>w</w:t>
      </w:r>
      <w:r w:rsidRPr="00C62B29">
        <w:rPr>
          <w:rFonts w:ascii="Bookman Old Style" w:hAnsi="Bookman Old Style"/>
        </w:rPr>
        <w:t xml:space="preserve"> zakresie dotyczącym pokrywania przez radę izby notarialnej kosztów postępowania, bez względu na to, czy wnosiła o wszczęcie postępowania. Zważyć należy, że z uwagi na kształt omawianej nowelizacji, możliwe jest zwiększenie udziału podmiotów wnoszących o wszczęc</w:t>
      </w:r>
      <w:r w:rsidR="00095FBC" w:rsidRPr="00C62B29">
        <w:rPr>
          <w:rFonts w:ascii="Bookman Old Style" w:hAnsi="Bookman Old Style"/>
        </w:rPr>
        <w:t>ie postępowania dyscyplinarnego</w:t>
      </w:r>
      <w:r w:rsidRPr="00C62B29">
        <w:rPr>
          <w:rFonts w:ascii="Bookman Old Style" w:hAnsi="Bookman Old Style"/>
        </w:rPr>
        <w:t xml:space="preserve">. </w:t>
      </w:r>
      <w:r w:rsidR="00095FBC" w:rsidRPr="00C62B29">
        <w:rPr>
          <w:rFonts w:ascii="Bookman Old Style" w:hAnsi="Bookman Old Style"/>
        </w:rPr>
        <w:t xml:space="preserve">Przyjęte w </w:t>
      </w:r>
      <w:r w:rsidR="002D7DA2">
        <w:rPr>
          <w:rFonts w:ascii="Bookman Old Style" w:hAnsi="Bookman Old Style"/>
        </w:rPr>
        <w:t>P</w:t>
      </w:r>
      <w:r w:rsidR="00095FBC" w:rsidRPr="00C62B29">
        <w:rPr>
          <w:rFonts w:ascii="Bookman Old Style" w:hAnsi="Bookman Old Style"/>
        </w:rPr>
        <w:t>rawie o notariacie r</w:t>
      </w:r>
      <w:r w:rsidRPr="00C62B29">
        <w:rPr>
          <w:rFonts w:ascii="Bookman Old Style" w:hAnsi="Bookman Old Style"/>
        </w:rPr>
        <w:t xml:space="preserve">ozwiązanie </w:t>
      </w:r>
      <w:r w:rsidR="00095FBC" w:rsidRPr="00C62B29">
        <w:rPr>
          <w:rFonts w:ascii="Bookman Old Style" w:hAnsi="Bookman Old Style"/>
        </w:rPr>
        <w:t>powinno być</w:t>
      </w:r>
      <w:r w:rsidRPr="00C62B29">
        <w:rPr>
          <w:rFonts w:ascii="Bookman Old Style" w:hAnsi="Bookman Old Style"/>
        </w:rPr>
        <w:t xml:space="preserve"> zgodne z zasadą odpowiedzialności za wynik procesu</w:t>
      </w:r>
      <w:r w:rsidR="00095FBC" w:rsidRPr="00C62B29">
        <w:rPr>
          <w:rFonts w:ascii="Bookman Old Style" w:hAnsi="Bookman Old Style"/>
        </w:rPr>
        <w:t>, co</w:t>
      </w:r>
      <w:r w:rsidRPr="00C62B29">
        <w:rPr>
          <w:rFonts w:ascii="Bookman Old Style" w:hAnsi="Bookman Old Style"/>
        </w:rPr>
        <w:t xml:space="preserve"> znacznie </w:t>
      </w:r>
      <w:r w:rsidRPr="00C62B29">
        <w:rPr>
          <w:rFonts w:ascii="Bookman Old Style" w:hAnsi="Bookman Old Style"/>
        </w:rPr>
        <w:lastRenderedPageBreak/>
        <w:t>odciąży budżety rad, które finansują wiele zadań związanych z funkcjonowaniem notariatu. Podobnie w przypadku wniosku złożonego przez Ministra Sprawiedliwości</w:t>
      </w:r>
      <w:r w:rsidRPr="00C62B29">
        <w:rPr>
          <w:rStyle w:val="Odwoanieprzypisudolnego"/>
          <w:rFonts w:ascii="Bookman Old Style" w:hAnsi="Bookman Old Style"/>
        </w:rPr>
        <w:footnoteReference w:id="13"/>
      </w:r>
      <w:r w:rsidR="00095FBC" w:rsidRPr="00C62B29">
        <w:rPr>
          <w:rFonts w:ascii="Bookman Old Style" w:hAnsi="Bookman Old Style"/>
        </w:rPr>
        <w:t>.</w:t>
      </w:r>
      <w:r w:rsidRPr="00C62B29">
        <w:rPr>
          <w:rFonts w:ascii="Bookman Old Style" w:hAnsi="Bookman Old Style"/>
        </w:rPr>
        <w:t xml:space="preserve"> Z tych względów </w:t>
      </w:r>
      <w:r w:rsidR="00095FBC" w:rsidRPr="00C62B29">
        <w:rPr>
          <w:rFonts w:ascii="Bookman Old Style" w:hAnsi="Bookman Old Style"/>
        </w:rPr>
        <w:t>SNRP postuluje</w:t>
      </w:r>
      <w:r w:rsidRPr="00C62B29">
        <w:rPr>
          <w:rFonts w:ascii="Bookman Old Style" w:hAnsi="Bookman Old Style"/>
        </w:rPr>
        <w:t xml:space="preserve"> zmianę art. 67 § 2. zdanie drugie na</w:t>
      </w:r>
      <w:r w:rsidR="00F65273" w:rsidRPr="00C62B29">
        <w:rPr>
          <w:rFonts w:ascii="Bookman Old Style" w:hAnsi="Bookman Old Style"/>
        </w:rPr>
        <w:t>:</w:t>
      </w:r>
      <w:r w:rsidRPr="00C62B29">
        <w:rPr>
          <w:rFonts w:ascii="Bookman Old Style" w:hAnsi="Bookman Old Style"/>
        </w:rPr>
        <w:t xml:space="preserve"> „W pozostałych przypadkach koszty postępowania pokrywa organ wnioskujący o wszczęcie postępowania dyscyplinarnego.”</w:t>
      </w:r>
      <w:r w:rsidR="00E80F74" w:rsidRPr="00C62B29">
        <w:rPr>
          <w:rFonts w:ascii="Bookman Old Style" w:hAnsi="Bookman Old Style"/>
        </w:rPr>
        <w:t>.</w:t>
      </w:r>
    </w:p>
    <w:p w14:paraId="256B0263" w14:textId="77777777" w:rsidR="00095FBC" w:rsidRPr="00C62B29" w:rsidRDefault="00095FBC" w:rsidP="001049D3">
      <w:pPr>
        <w:pStyle w:val="ZARTzmartartykuempunktem"/>
        <w:ind w:left="0"/>
        <w:rPr>
          <w:rFonts w:ascii="Bookman Old Style" w:hAnsi="Bookman Old Style"/>
          <w:b/>
        </w:rPr>
      </w:pPr>
      <w:r w:rsidRPr="00C62B29">
        <w:rPr>
          <w:rFonts w:ascii="Bookman Old Style" w:hAnsi="Bookman Old Style"/>
          <w:b/>
        </w:rPr>
        <w:t>6) odnośnie art. 1 pkt 17 Projektu.</w:t>
      </w:r>
    </w:p>
    <w:p w14:paraId="15474B16" w14:textId="119AD7CF" w:rsidR="00461B4F" w:rsidRPr="00C62B29" w:rsidRDefault="00095FBC" w:rsidP="001049D3">
      <w:pPr>
        <w:pStyle w:val="ZARTzmartartykuempunktem"/>
        <w:ind w:left="0"/>
        <w:rPr>
          <w:rFonts w:ascii="Bookman Old Style" w:hAnsi="Bookman Old Style"/>
          <w:b/>
        </w:rPr>
      </w:pPr>
      <w:r w:rsidRPr="00C62B29">
        <w:rPr>
          <w:rFonts w:ascii="Bookman Old Style" w:hAnsi="Bookman Old Style"/>
        </w:rPr>
        <w:t xml:space="preserve">Projektowane przepisy art. 68 § 1 do 4 pr. not. </w:t>
      </w:r>
      <w:r w:rsidR="00461B4F" w:rsidRPr="00C62B29">
        <w:rPr>
          <w:rFonts w:ascii="Bookman Old Style" w:hAnsi="Bookman Old Style"/>
        </w:rPr>
        <w:t>stanowi</w:t>
      </w:r>
      <w:r w:rsidRPr="00C62B29">
        <w:rPr>
          <w:rFonts w:ascii="Bookman Old Style" w:hAnsi="Bookman Old Style"/>
        </w:rPr>
        <w:t>ą</w:t>
      </w:r>
      <w:r w:rsidR="00461B4F" w:rsidRPr="00C62B29">
        <w:rPr>
          <w:rFonts w:ascii="Bookman Old Style" w:hAnsi="Bookman Old Style"/>
          <w:b/>
        </w:rPr>
        <w:t xml:space="preserve"> </w:t>
      </w:r>
      <w:r w:rsidR="00461B4F" w:rsidRPr="00C62B29">
        <w:rPr>
          <w:rFonts w:ascii="Bookman Old Style" w:hAnsi="Bookman Old Style"/>
        </w:rPr>
        <w:t xml:space="preserve">uszczegółowienie już istniejących rozwiązań, po dodaniu zmian wynikających z wprowadzenia instytucji Rzecznika Dyscyplinarnego Notariatu i jego Zastępców. Nie jest </w:t>
      </w:r>
      <w:r w:rsidR="007E6334" w:rsidRPr="00C62B29">
        <w:rPr>
          <w:rFonts w:ascii="Bookman Old Style" w:hAnsi="Bookman Old Style"/>
        </w:rPr>
        <w:t>jasne</w:t>
      </w:r>
      <w:r w:rsidR="00461B4F" w:rsidRPr="00C62B29">
        <w:rPr>
          <w:rFonts w:ascii="Bookman Old Style" w:hAnsi="Bookman Old Style"/>
        </w:rPr>
        <w:t xml:space="preserve"> czy wymienione w</w:t>
      </w:r>
      <w:r w:rsidR="00461B4F" w:rsidRPr="00C62B29">
        <w:rPr>
          <w:rFonts w:ascii="Bookman Old Style" w:hAnsi="Bookman Old Style"/>
          <w:b/>
        </w:rPr>
        <w:t xml:space="preserve"> </w:t>
      </w:r>
      <w:r w:rsidR="00461B4F" w:rsidRPr="00C62B29">
        <w:rPr>
          <w:rFonts w:ascii="Bookman Old Style" w:hAnsi="Bookman Old Style"/>
        </w:rPr>
        <w:t xml:space="preserve">§ 1 podmioty mogą złożyć taki wniosek bez względu na to czy są uczestnikami tego konkretnego procesu, wydaje </w:t>
      </w:r>
      <w:r w:rsidR="007E6334" w:rsidRPr="00C62B29">
        <w:rPr>
          <w:rFonts w:ascii="Bookman Old Style" w:hAnsi="Bookman Old Style"/>
        </w:rPr>
        <w:t>się,</w:t>
      </w:r>
      <w:r w:rsidR="00461B4F" w:rsidRPr="00C62B29">
        <w:rPr>
          <w:rFonts w:ascii="Bookman Old Style" w:hAnsi="Bookman Old Style"/>
        </w:rPr>
        <w:t xml:space="preserve"> że trzeba to doprecyzować.</w:t>
      </w:r>
    </w:p>
    <w:p w14:paraId="6B184A87" w14:textId="77777777" w:rsidR="00461B4F" w:rsidRPr="00C62B29" w:rsidRDefault="00095FBC" w:rsidP="001049D3">
      <w:pPr>
        <w:pStyle w:val="ZARTzmartartykuempunktem"/>
        <w:ind w:left="0" w:firstLine="567"/>
        <w:rPr>
          <w:rFonts w:ascii="Bookman Old Style" w:hAnsi="Bookman Old Style"/>
          <w:b/>
        </w:rPr>
      </w:pPr>
      <w:r w:rsidRPr="00C62B29">
        <w:rPr>
          <w:rFonts w:ascii="Bookman Old Style" w:hAnsi="Bookman Old Style"/>
          <w:b/>
        </w:rPr>
        <w:t>7) odnośnie art. 1 pkt 18 Projektu</w:t>
      </w:r>
    </w:p>
    <w:p w14:paraId="1DF01E72" w14:textId="3F63B638" w:rsidR="00461B4F" w:rsidRPr="00C62B29" w:rsidRDefault="00461B4F" w:rsidP="001049D3">
      <w:pPr>
        <w:pStyle w:val="ZARTzmartartykuempunktem"/>
        <w:ind w:left="0" w:firstLine="567"/>
        <w:rPr>
          <w:rStyle w:val="ng-scope1"/>
          <w:rFonts w:ascii="Bookman Old Style" w:hAnsi="Bookman Old Style"/>
        </w:rPr>
      </w:pPr>
      <w:r w:rsidRPr="00C62B29">
        <w:rPr>
          <w:rFonts w:ascii="Bookman Old Style" w:hAnsi="Bookman Old Style" w:cs="Times New Roman"/>
        </w:rPr>
        <w:t xml:space="preserve">Rozwiązanie powyższe należy ocenić co do zasady pozytywnie. Biorąc pod uwagę minimalny zakres uregulowań w zakresie postępowania dyscyplinarnego w </w:t>
      </w:r>
      <w:r w:rsidR="002D7DA2">
        <w:rPr>
          <w:rFonts w:ascii="Bookman Old Style" w:hAnsi="Bookman Old Style" w:cs="Times New Roman"/>
        </w:rPr>
        <w:t>P</w:t>
      </w:r>
      <w:r w:rsidRPr="00C62B29">
        <w:rPr>
          <w:rFonts w:ascii="Bookman Old Style" w:hAnsi="Bookman Old Style" w:cs="Times New Roman"/>
        </w:rPr>
        <w:t>rawie o notariacie, odpowiednie stosowanie ustaw karnych jest niezbędne dla prawidłowego przeprowadzenia postępowania. O</w:t>
      </w:r>
      <w:r w:rsidR="00095FBC" w:rsidRPr="00C62B29">
        <w:rPr>
          <w:rFonts w:ascii="Bookman Old Style" w:hAnsi="Bookman Old Style" w:cs="Times New Roman"/>
        </w:rPr>
        <w:t> </w:t>
      </w:r>
      <w:r w:rsidRPr="00C62B29">
        <w:rPr>
          <w:rFonts w:ascii="Bookman Old Style" w:hAnsi="Bookman Old Style" w:cs="Times New Roman"/>
        </w:rPr>
        <w:t xml:space="preserve">ile kwestia odpowiedniego stosowania procedury karnej jest w </w:t>
      </w:r>
      <w:r w:rsidR="002D7DA2">
        <w:rPr>
          <w:rFonts w:ascii="Bookman Old Style" w:hAnsi="Bookman Old Style" w:cs="Times New Roman"/>
        </w:rPr>
        <w:t>P</w:t>
      </w:r>
      <w:r w:rsidRPr="00C62B29">
        <w:rPr>
          <w:rFonts w:ascii="Bookman Old Style" w:hAnsi="Bookman Old Style" w:cs="Times New Roman"/>
        </w:rPr>
        <w:t>rawie o notariacie rozstrzygnięta, o tyle stosowanie instytucji prawa karnego materialnego zostało ukształtowane przez orzecznictwo. W judykaturze utrwalony jest pogląd, zgodnie z którym przewinienie dyscyplinarne może zostać popełnione zarówno umyślnie, jak i nieumyślnie</w:t>
      </w:r>
      <w:r w:rsidRPr="00C62B29">
        <w:rPr>
          <w:rStyle w:val="Odwoanieprzypisudolnego"/>
          <w:rFonts w:ascii="Bookman Old Style" w:hAnsi="Bookman Old Style" w:cs="Times New Roman"/>
        </w:rPr>
        <w:footnoteReference w:id="14"/>
      </w:r>
      <w:r w:rsidRPr="00C62B29">
        <w:rPr>
          <w:rFonts w:ascii="Bookman Old Style" w:hAnsi="Bookman Old Style" w:cs="Times New Roman"/>
        </w:rPr>
        <w:t>, a także wskazanie na elementy odzwierciedlające znamiona strony podmiotowej</w:t>
      </w:r>
      <w:r w:rsidRPr="00C62B29">
        <w:rPr>
          <w:rStyle w:val="Odwoanieprzypisudolnego"/>
          <w:rFonts w:ascii="Bookman Old Style" w:hAnsi="Bookman Old Style" w:cs="Times New Roman"/>
        </w:rPr>
        <w:footnoteReference w:id="15"/>
      </w:r>
      <w:r w:rsidRPr="00C62B29">
        <w:rPr>
          <w:rFonts w:ascii="Bookman Old Style" w:hAnsi="Bookman Old Style" w:cs="Times New Roman"/>
        </w:rPr>
        <w:t xml:space="preserve">, </w:t>
      </w:r>
      <w:r w:rsidRPr="00C62B29">
        <w:rPr>
          <w:rFonts w:ascii="Bookman Old Style" w:hAnsi="Bookman Old Style" w:cs="Times New Roman"/>
          <w:szCs w:val="24"/>
        </w:rPr>
        <w:t>przy wydawaniu orzeczenia sąd dyscyplinarny musi dokonywać ustaleń co do stopnia społecznej szkodliwości czynu deliktu dyscyplinarnego</w:t>
      </w:r>
      <w:r w:rsidRPr="00C62B29">
        <w:rPr>
          <w:rStyle w:val="Odwoanieprzypisudolnego"/>
          <w:rFonts w:ascii="Bookman Old Style" w:hAnsi="Bookman Old Style" w:cs="Times New Roman"/>
          <w:szCs w:val="24"/>
        </w:rPr>
        <w:footnoteReference w:id="16"/>
      </w:r>
      <w:r w:rsidR="00095FBC" w:rsidRPr="00C62B29">
        <w:rPr>
          <w:rFonts w:ascii="Bookman Old Style" w:hAnsi="Bookman Old Style" w:cs="Times New Roman"/>
          <w:szCs w:val="24"/>
        </w:rPr>
        <w:t>.</w:t>
      </w:r>
      <w:r w:rsidRPr="00C62B29">
        <w:rPr>
          <w:rFonts w:ascii="Bookman Old Style" w:hAnsi="Bookman Old Style" w:cs="Times New Roman"/>
          <w:szCs w:val="24"/>
        </w:rPr>
        <w:t xml:space="preserve"> </w:t>
      </w:r>
      <w:r w:rsidRPr="00C62B29">
        <w:rPr>
          <w:rStyle w:val="ng-scope1"/>
          <w:rFonts w:ascii="Bookman Old Style" w:hAnsi="Bookman Old Style"/>
        </w:rPr>
        <w:t xml:space="preserve">W literaturze przyjmuje się, że stosowanie instytucji prawa karnego materialnego może zaistnieć jedynie przy uwzględnieniu </w:t>
      </w:r>
      <w:r w:rsidRPr="00C62B29">
        <w:rPr>
          <w:rFonts w:ascii="Bookman Old Style" w:hAnsi="Bookman Old Style" w:cs="Times New Roman"/>
          <w:szCs w:val="24"/>
        </w:rPr>
        <w:t xml:space="preserve">szczególnego charakteru funkcji prawa </w:t>
      </w:r>
      <w:r w:rsidRPr="00C62B29">
        <w:rPr>
          <w:rFonts w:ascii="Bookman Old Style" w:hAnsi="Bookman Old Style" w:cs="Times New Roman"/>
          <w:szCs w:val="24"/>
        </w:rPr>
        <w:lastRenderedPageBreak/>
        <w:t>dyscyplinarnego w stosunku do prawa karnego</w:t>
      </w:r>
      <w:r w:rsidRPr="00C62B29">
        <w:rPr>
          <w:rStyle w:val="Odwoanieprzypisudolnego"/>
          <w:rFonts w:ascii="Bookman Old Style" w:hAnsi="Bookman Old Style" w:cs="Times New Roman"/>
          <w:szCs w:val="24"/>
        </w:rPr>
        <w:footnoteReference w:id="17"/>
      </w:r>
      <w:r w:rsidRPr="00C62B29">
        <w:rPr>
          <w:rFonts w:ascii="Bookman Old Style" w:hAnsi="Bookman Old Style" w:cs="Times New Roman"/>
          <w:szCs w:val="24"/>
        </w:rPr>
        <w:t>. Przykładowo nie przyję</w:t>
      </w:r>
      <w:r w:rsidR="001E5DAB" w:rsidRPr="00C62B29">
        <w:rPr>
          <w:rFonts w:ascii="Bookman Old Style" w:hAnsi="Bookman Old Style" w:cs="Times New Roman"/>
          <w:szCs w:val="24"/>
        </w:rPr>
        <w:t>ło</w:t>
      </w:r>
      <w:r w:rsidRPr="00C62B29">
        <w:rPr>
          <w:rFonts w:ascii="Bookman Old Style" w:hAnsi="Bookman Old Style" w:cs="Times New Roman"/>
          <w:szCs w:val="24"/>
        </w:rPr>
        <w:t xml:space="preserve"> się </w:t>
      </w:r>
      <w:r w:rsidR="00C32637" w:rsidRPr="00C62B29">
        <w:rPr>
          <w:rFonts w:ascii="Bookman Old Style" w:hAnsi="Bookman Old Style" w:cs="Times New Roman"/>
          <w:szCs w:val="24"/>
        </w:rPr>
        <w:t xml:space="preserve">stosowanie </w:t>
      </w:r>
      <w:r w:rsidRPr="00C62B29">
        <w:rPr>
          <w:rFonts w:ascii="Bookman Old Style" w:hAnsi="Bookman Old Style" w:cs="Times New Roman"/>
          <w:szCs w:val="24"/>
        </w:rPr>
        <w:t>w postępowaniu dyscyplinarnym kary łącznej</w:t>
      </w:r>
      <w:r w:rsidRPr="00C62B29">
        <w:rPr>
          <w:rStyle w:val="Odwoanieprzypisudolnego"/>
          <w:rFonts w:ascii="Bookman Old Style" w:hAnsi="Bookman Old Style" w:cs="Times New Roman"/>
          <w:szCs w:val="24"/>
        </w:rPr>
        <w:footnoteReference w:id="18"/>
      </w:r>
      <w:r w:rsidRPr="00C62B29">
        <w:rPr>
          <w:rFonts w:ascii="Bookman Old Style" w:hAnsi="Bookman Old Style" w:cs="Times New Roman"/>
          <w:szCs w:val="24"/>
        </w:rPr>
        <w:t xml:space="preserve">. </w:t>
      </w:r>
    </w:p>
    <w:p w14:paraId="1FCCC991" w14:textId="05A4C088" w:rsidR="00461B4F" w:rsidRPr="00C62B29" w:rsidRDefault="00461B4F" w:rsidP="001049D3">
      <w:pPr>
        <w:pStyle w:val="ZARTzmartartykuempunktem"/>
        <w:ind w:left="0" w:firstLine="567"/>
        <w:rPr>
          <w:rFonts w:ascii="Bookman Old Style" w:hAnsi="Bookman Old Style"/>
        </w:rPr>
      </w:pPr>
      <w:r w:rsidRPr="00C62B29">
        <w:rPr>
          <w:rFonts w:ascii="Bookman Old Style" w:hAnsi="Bookman Old Style"/>
        </w:rPr>
        <w:t xml:space="preserve">Niemniej pamiętać należy, że odpowiednie stosowanie prawa karnego materialnego nie ogranicza się tylko </w:t>
      </w:r>
      <w:r w:rsidR="00C32637" w:rsidRPr="00C62B29">
        <w:rPr>
          <w:rFonts w:ascii="Bookman Old Style" w:hAnsi="Bookman Old Style"/>
        </w:rPr>
        <w:t xml:space="preserve">do </w:t>
      </w:r>
      <w:r w:rsidRPr="00C62B29">
        <w:rPr>
          <w:rFonts w:ascii="Bookman Old Style" w:hAnsi="Bookman Old Style"/>
        </w:rPr>
        <w:t xml:space="preserve">wspomnianych rozdziałów I-III Kodeksu karnego. Przykładowo – sąd dyscyplinarny wydając orzeczenie ma obowiązek brać pod </w:t>
      </w:r>
      <w:r w:rsidR="007E6334" w:rsidRPr="00C62B29">
        <w:rPr>
          <w:rFonts w:ascii="Bookman Old Style" w:hAnsi="Bookman Old Style"/>
        </w:rPr>
        <w:t>uwagę dyrektywy</w:t>
      </w:r>
      <w:r w:rsidRPr="00C62B29">
        <w:rPr>
          <w:rFonts w:ascii="Bookman Old Style" w:hAnsi="Bookman Old Style"/>
        </w:rPr>
        <w:t xml:space="preserve"> wymiaru kary wskazane w rozdziale VI kodeksu karnego. Dlatego należy rozważyć, czy ograniczenie odpowiedniego stosowania kodeksu karnego jedynie do rozdziałów I-III nie spowoduje więcej wątpliwości niż w dotychczasowym stanie prawnym.</w:t>
      </w:r>
    </w:p>
    <w:p w14:paraId="0E5D8477" w14:textId="77777777" w:rsidR="00095FBC" w:rsidRPr="00C62B29" w:rsidRDefault="009A5CD5" w:rsidP="001049D3">
      <w:pPr>
        <w:pStyle w:val="ZARTzmartartykuempunktem"/>
        <w:ind w:left="0" w:firstLine="567"/>
        <w:rPr>
          <w:rFonts w:ascii="Bookman Old Style" w:hAnsi="Bookman Old Style"/>
          <w:b/>
        </w:rPr>
      </w:pPr>
      <w:r w:rsidRPr="00C62B29">
        <w:rPr>
          <w:rFonts w:ascii="Bookman Old Style" w:hAnsi="Bookman Old Style"/>
          <w:b/>
        </w:rPr>
        <w:t>8) odnośnie art. 1 pkt 19 Projektu</w:t>
      </w:r>
    </w:p>
    <w:p w14:paraId="34AF72F7" w14:textId="77777777" w:rsidR="00461B4F" w:rsidRPr="00C62B29" w:rsidRDefault="00897FFD" w:rsidP="001049D3">
      <w:pPr>
        <w:pStyle w:val="ZROZDZODDZOZNzmoznrozdzoddzartykuempunktem"/>
        <w:jc w:val="both"/>
        <w:rPr>
          <w:rFonts w:ascii="Bookman Old Style" w:hAnsi="Bookman Old Style"/>
          <w:b/>
        </w:rPr>
      </w:pPr>
      <w:bookmarkStart w:id="0" w:name="_Hlk103250182"/>
      <w:r w:rsidRPr="00C62B29">
        <w:rPr>
          <w:rFonts w:ascii="Bookman Old Style" w:hAnsi="Bookman Old Style"/>
          <w:b/>
        </w:rPr>
        <w:t>U</w:t>
      </w:r>
      <w:r w:rsidR="00461B4F" w:rsidRPr="00C62B29">
        <w:rPr>
          <w:rFonts w:ascii="Bookman Old Style" w:hAnsi="Bookman Old Style"/>
          <w:b/>
        </w:rPr>
        <w:t>wagi ogólne</w:t>
      </w:r>
      <w:r w:rsidR="00E23D9E" w:rsidRPr="00C62B29">
        <w:rPr>
          <w:rFonts w:ascii="Bookman Old Style" w:hAnsi="Bookman Old Style"/>
          <w:b/>
        </w:rPr>
        <w:t xml:space="preserve"> dot. instytucji Rzecznika Dyscyplinarnego Notariatu</w:t>
      </w:r>
      <w:r w:rsidR="00461B4F" w:rsidRPr="00C62B29">
        <w:rPr>
          <w:rFonts w:ascii="Bookman Old Style" w:hAnsi="Bookman Old Style"/>
          <w:b/>
        </w:rPr>
        <w:t>.</w:t>
      </w:r>
    </w:p>
    <w:p w14:paraId="49DA4E3D" w14:textId="2D6CB566" w:rsidR="00461B4F" w:rsidRPr="00C62B29" w:rsidRDefault="00461B4F" w:rsidP="001049D3">
      <w:pPr>
        <w:pStyle w:val="ZROZDZODDZOZNzmoznrozdzoddzartykuempunktem"/>
        <w:ind w:left="0" w:firstLine="567"/>
        <w:jc w:val="both"/>
        <w:rPr>
          <w:rFonts w:ascii="Bookman Old Style" w:hAnsi="Bookman Old Style"/>
        </w:rPr>
      </w:pPr>
      <w:r w:rsidRPr="00C62B29">
        <w:rPr>
          <w:rFonts w:ascii="Bookman Old Style" w:hAnsi="Bookman Old Style"/>
        </w:rPr>
        <w:t xml:space="preserve">Wprowadzenie omawianej instytucji jest istotnym </w:t>
      </w:r>
      <w:r w:rsidRPr="00C62B29">
        <w:rPr>
          <w:rFonts w:ascii="Bookman Old Style" w:hAnsi="Bookman Old Style"/>
          <w:i/>
        </w:rPr>
        <w:t>novum</w:t>
      </w:r>
      <w:r w:rsidRPr="00C62B29">
        <w:rPr>
          <w:rFonts w:ascii="Bookman Old Style" w:hAnsi="Bookman Old Style"/>
        </w:rPr>
        <w:t xml:space="preserve"> w procedurze związanej z odpowiedzialnością dyscyplinarną notariuszy. Zmiana ta jest analogiczna do rozwiązań wskazanych w art. 236 i nast. </w:t>
      </w:r>
      <w:r w:rsidR="00897FFD" w:rsidRPr="00C62B29">
        <w:rPr>
          <w:rFonts w:ascii="Bookman Old Style" w:hAnsi="Bookman Old Style"/>
        </w:rPr>
        <w:t>u</w:t>
      </w:r>
      <w:r w:rsidRPr="00C62B29">
        <w:rPr>
          <w:rFonts w:ascii="Bookman Old Style" w:hAnsi="Bookman Old Style"/>
        </w:rPr>
        <w:t>stawy o komornikach</w:t>
      </w:r>
      <w:r w:rsidR="009A5CD5" w:rsidRPr="00C62B29">
        <w:rPr>
          <w:rFonts w:ascii="Bookman Old Style" w:hAnsi="Bookman Old Style"/>
        </w:rPr>
        <w:t xml:space="preserve"> sądowych</w:t>
      </w:r>
      <w:r w:rsidR="00897FFD" w:rsidRPr="00C62B29">
        <w:rPr>
          <w:rFonts w:ascii="Bookman Old Style" w:hAnsi="Bookman Old Style"/>
        </w:rPr>
        <w:t xml:space="preserve"> (w powyższym zakresie </w:t>
      </w:r>
      <w:r w:rsidR="00897FFD" w:rsidRPr="00C62B29">
        <w:rPr>
          <w:rFonts w:ascii="Bookman Old Style" w:hAnsi="Bookman Old Style"/>
          <w:i/>
        </w:rPr>
        <w:t>vide</w:t>
      </w:r>
      <w:r w:rsidR="00897FFD" w:rsidRPr="00C62B29">
        <w:rPr>
          <w:rFonts w:ascii="Bookman Old Style" w:hAnsi="Bookman Old Style"/>
        </w:rPr>
        <w:t xml:space="preserve"> uwagi co do art. 15a Projektu)</w:t>
      </w:r>
      <w:r w:rsidRPr="00C62B29">
        <w:rPr>
          <w:rFonts w:ascii="Bookman Old Style" w:hAnsi="Bookman Old Style"/>
        </w:rPr>
        <w:t xml:space="preserve">. Wprowadza dodatkowy podmiot, który ma nie tylko funkcje oskarżyciela, ale także możliwość przeprowadzenia dochodzenia dyscyplinarnego. Jak </w:t>
      </w:r>
      <w:r w:rsidR="009A5CD5" w:rsidRPr="00C62B29">
        <w:rPr>
          <w:rFonts w:ascii="Bookman Old Style" w:hAnsi="Bookman Old Style"/>
        </w:rPr>
        <w:t>wskazano</w:t>
      </w:r>
      <w:r w:rsidRPr="00C62B29">
        <w:rPr>
          <w:rFonts w:ascii="Bookman Old Style" w:hAnsi="Bookman Old Style"/>
        </w:rPr>
        <w:t xml:space="preserve"> w uzasadnieniu do </w:t>
      </w:r>
      <w:r w:rsidR="009A5CD5" w:rsidRPr="00C62B29">
        <w:rPr>
          <w:rFonts w:ascii="Bookman Old Style" w:hAnsi="Bookman Old Style"/>
        </w:rPr>
        <w:t>P</w:t>
      </w:r>
      <w:r w:rsidR="00897FFD" w:rsidRPr="00C62B29">
        <w:rPr>
          <w:rFonts w:ascii="Bookman Old Style" w:hAnsi="Bookman Old Style"/>
        </w:rPr>
        <w:t>r</w:t>
      </w:r>
      <w:r w:rsidRPr="00C62B29">
        <w:rPr>
          <w:rFonts w:ascii="Bookman Old Style" w:hAnsi="Bookman Old Style"/>
        </w:rPr>
        <w:t>ojektu rolą Rzecznika Dyscyplinarnego Notariatu będzie podejmowanie działań w przypadku najbardziej poważnych naruszeń prawa, uchybień powagi i godności zawodu notariusza</w:t>
      </w:r>
      <w:r w:rsidRPr="00C62B29">
        <w:rPr>
          <w:rStyle w:val="Odwoanieprzypisudolnego"/>
          <w:rFonts w:ascii="Bookman Old Style" w:hAnsi="Bookman Old Style"/>
        </w:rPr>
        <w:footnoteReference w:id="19"/>
      </w:r>
      <w:r w:rsidRPr="00C62B29">
        <w:rPr>
          <w:rFonts w:ascii="Bookman Old Style" w:hAnsi="Bookman Old Style"/>
        </w:rPr>
        <w:t xml:space="preserve">. Powyższe stwierdzenie jest enigmatyczne – trudno bowiem określić zakres kompetencji Rzecznika – kto ma decydować, o tym które z deliktów dyscyplinarnych są „najbardziej poważne”? Czy wobec dualizmu systemu – pozostawienia istniejącej struktury rzeczników dyscyplinarnych w poszczególnych izbach notarialnych jest możliwe przekazywanie sobie spraw „według właściwości”, np. </w:t>
      </w:r>
      <w:r w:rsidR="00F13430">
        <w:rPr>
          <w:rFonts w:ascii="Bookman Old Style" w:hAnsi="Bookman Old Style"/>
        </w:rPr>
        <w:t xml:space="preserve">czy </w:t>
      </w:r>
      <w:r w:rsidRPr="00C62B29">
        <w:rPr>
          <w:rFonts w:ascii="Bookman Old Style" w:hAnsi="Bookman Old Style"/>
        </w:rPr>
        <w:t xml:space="preserve">w przypadku wniosku do Rzecznika Dyscyplinarnego Notariatu w sprawie „mniej poważnej” może on przekazać ją „zwykłemu” rzecznikowi i odwrotnie – gdy okaże się, że sprawa jest poważna – może on zażądać przekazania jej przez radę izby? Wydaje się, że tego typu </w:t>
      </w:r>
      <w:r w:rsidRPr="00C62B29">
        <w:rPr>
          <w:rFonts w:ascii="Bookman Old Style" w:hAnsi="Bookman Old Style"/>
        </w:rPr>
        <w:lastRenderedPageBreak/>
        <w:t>rozwiązania są systemowo niemożliwe, z uwagi na naruszenie zasady niezależności organów samorządu. Powyższe pytania wskazują na potencjalny chaos organizacyjny wynikający z nakładania się na siebie nieostrych zakresów kompetencji poszczególnych rzeczników i rad izb. Ponadto instytucja ta został</w:t>
      </w:r>
      <w:r w:rsidR="001424A1">
        <w:rPr>
          <w:rFonts w:ascii="Bookman Old Style" w:hAnsi="Bookman Old Style"/>
        </w:rPr>
        <w:t>a</w:t>
      </w:r>
      <w:r w:rsidRPr="00C62B29">
        <w:rPr>
          <w:rFonts w:ascii="Bookman Old Style" w:hAnsi="Bookman Old Style"/>
        </w:rPr>
        <w:t xml:space="preserve"> stworzona w oderwaniu od istniejącego instancyjnego sądownictwa dyscyplinarnego w notariacie. Jako że z uzasadnienia projektu ustawy wynika, że „wprowadzone zmiany nie wpływają na kompetencje aktualnie funkcjonujących rzeczników dyscyplinarnych”</w:t>
      </w:r>
      <w:r w:rsidRPr="00C62B29">
        <w:rPr>
          <w:rStyle w:val="Odwoanieprzypisudolnego"/>
          <w:rFonts w:ascii="Bookman Old Style" w:hAnsi="Bookman Old Style"/>
        </w:rPr>
        <w:footnoteReference w:id="20"/>
      </w:r>
      <w:r w:rsidRPr="00C62B29">
        <w:rPr>
          <w:rFonts w:ascii="Bookman Old Style" w:hAnsi="Bookman Old Style"/>
        </w:rPr>
        <w:t xml:space="preserve">, przyjąć należy, że proponowane rozwiązanie będzie funkcjonowało niejako „obok” istniejącego systemu sądownictwa dyscyplinarnego. Niejasna jest relacja Rzecznika Dyscyplinarnego Notariatu i jego zastępców do innych rzeczników, w tym rzecznika dyscyplinarnego KRN, a także rad izb i Krajowej Rady Notarialnej. Z uwagi na to, że powołuje go Minister Sprawiedliwości, który w każdym czasie może go </w:t>
      </w:r>
      <w:r w:rsidR="007E6334" w:rsidRPr="00C62B29">
        <w:rPr>
          <w:rFonts w:ascii="Bookman Old Style" w:hAnsi="Bookman Old Style"/>
        </w:rPr>
        <w:t>odwołać,</w:t>
      </w:r>
      <w:r w:rsidRPr="00C62B29">
        <w:rPr>
          <w:rFonts w:ascii="Bookman Old Style" w:hAnsi="Bookman Old Style"/>
        </w:rPr>
        <w:t xml:space="preserve"> a także z uwagi na to, że nie jest on w ogóle zobowiązany do składania sprawozdań organom samorządu notarialnego, a jedynie Ministrowi Sprawiedliwości, instytucja ta</w:t>
      </w:r>
      <w:r w:rsidR="00F13430">
        <w:rPr>
          <w:rFonts w:ascii="Bookman Old Style" w:hAnsi="Bookman Old Style"/>
        </w:rPr>
        <w:t>ka</w:t>
      </w:r>
      <w:r w:rsidRPr="00C62B29">
        <w:rPr>
          <w:rFonts w:ascii="Bookman Old Style" w:hAnsi="Bookman Old Style"/>
        </w:rPr>
        <w:t xml:space="preserve"> jawi się jako organ oderwany od samorządu, całkowicie podporządkowana Ministrowi Sprawiedliwości, co jest zagrożeniem dla samorządności i niezależności samorządu notarialnego. Wprowadzenie tej instytucji miałoby sens jedynie wtedy, gdyby był to organ powiązany z sądownictwem dyscyplinarnym, np. Rzecznik Dyscyplinarny Notariatu przy Krajowej Radzie Notarialnej i 11 zastępców, przy radach izb notarialnych, a także gdyby jego pozycja ustrojowa była połączona z samorządem notarialnym – np. istniałby obowiązek składania sprawozdań przed walnym zgromadzeniem, a także możliwość wyboru bądź odwołania przez organy samorządu. </w:t>
      </w:r>
      <w:r w:rsidR="00897FFD" w:rsidRPr="00C62B29">
        <w:rPr>
          <w:rFonts w:ascii="Bookman Old Style" w:hAnsi="Bookman Old Style"/>
        </w:rPr>
        <w:t>W związku z powyższym podnieść należy, że projektowana instytucja Rzecznika Dyscyplinarnego Notariatu jest niedopracowana i nieuwzględniająca obowiązujących rozwiązań prawnych w zakresie postępowania dyscyplinarnego w notariacie.</w:t>
      </w:r>
    </w:p>
    <w:p w14:paraId="70C6B67C" w14:textId="77777777" w:rsidR="00865804" w:rsidRDefault="00865804" w:rsidP="001049D3">
      <w:pPr>
        <w:pStyle w:val="ZROZDZODDZPRZEDMzmprzedmrozdzoddzartykuempunktem"/>
        <w:spacing w:before="0" w:after="0"/>
        <w:jc w:val="both"/>
        <w:rPr>
          <w:rFonts w:ascii="Bookman Old Style" w:hAnsi="Bookman Old Style"/>
          <w:b/>
        </w:rPr>
      </w:pPr>
    </w:p>
    <w:p w14:paraId="56F85233" w14:textId="1280C308" w:rsidR="00461B4F" w:rsidRPr="00C62B29" w:rsidRDefault="00897FFD" w:rsidP="001049D3">
      <w:pPr>
        <w:pStyle w:val="ZROZDZODDZPRZEDMzmprzedmrozdzoddzartykuempunktem"/>
        <w:spacing w:before="0" w:after="0"/>
        <w:jc w:val="both"/>
        <w:rPr>
          <w:rFonts w:ascii="Bookman Old Style" w:hAnsi="Bookman Old Style"/>
          <w:b/>
        </w:rPr>
      </w:pPr>
      <w:r w:rsidRPr="00C62B29">
        <w:rPr>
          <w:rFonts w:ascii="Bookman Old Style" w:hAnsi="Bookman Old Style"/>
          <w:b/>
        </w:rPr>
        <w:t>U</w:t>
      </w:r>
      <w:r w:rsidR="00461B4F" w:rsidRPr="00C62B29">
        <w:rPr>
          <w:rFonts w:ascii="Bookman Old Style" w:hAnsi="Bookman Old Style"/>
          <w:b/>
        </w:rPr>
        <w:t>wagi szczegółowe.</w:t>
      </w:r>
    </w:p>
    <w:bookmarkEnd w:id="0"/>
    <w:p w14:paraId="0F7658C7" w14:textId="77777777" w:rsidR="00442AA1" w:rsidRPr="00C62B29" w:rsidRDefault="00442AA1" w:rsidP="001049D3">
      <w:pPr>
        <w:pStyle w:val="ZARTzmartartykuempunktem"/>
        <w:ind w:left="0" w:firstLine="567"/>
        <w:rPr>
          <w:rFonts w:ascii="Bookman Old Style" w:hAnsi="Bookman Old Style"/>
          <w:b/>
        </w:rPr>
      </w:pPr>
      <w:r w:rsidRPr="00C62B29">
        <w:rPr>
          <w:rFonts w:ascii="Bookman Old Style" w:hAnsi="Bookman Old Style"/>
          <w:b/>
        </w:rPr>
        <w:t>odnośnie projektowanego art. 70a § 1 pr.not.</w:t>
      </w:r>
    </w:p>
    <w:p w14:paraId="4A38937F" w14:textId="3490FA07" w:rsidR="00461B4F" w:rsidRPr="00C62B29" w:rsidRDefault="00461B4F" w:rsidP="001049D3">
      <w:pPr>
        <w:pStyle w:val="ZARTzmartartykuempunktem"/>
        <w:ind w:left="0"/>
        <w:rPr>
          <w:rFonts w:ascii="Bookman Old Style" w:hAnsi="Bookman Old Style"/>
          <w:b/>
        </w:rPr>
      </w:pPr>
      <w:r w:rsidRPr="00C62B29">
        <w:rPr>
          <w:rFonts w:ascii="Bookman Old Style" w:hAnsi="Bookman Old Style"/>
        </w:rPr>
        <w:lastRenderedPageBreak/>
        <w:t>Aktualne przepisy nie przewidują fazy post</w:t>
      </w:r>
      <w:r w:rsidR="00C32637" w:rsidRPr="00C62B29">
        <w:rPr>
          <w:rFonts w:ascii="Bookman Old Style" w:hAnsi="Bookman Old Style"/>
        </w:rPr>
        <w:t>ę</w:t>
      </w:r>
      <w:r w:rsidRPr="00C62B29">
        <w:rPr>
          <w:rFonts w:ascii="Bookman Old Style" w:hAnsi="Bookman Old Style"/>
        </w:rPr>
        <w:t>powania przygotowawczego w notarialnym postępowaniu dyscyplinarnym, a cały ciężar przeprowadzenia dowodów stoi po stronie sądu dyscyplinarnego.</w:t>
      </w:r>
      <w:r w:rsidRPr="00C62B29">
        <w:rPr>
          <w:rFonts w:ascii="Bookman Old Style" w:hAnsi="Bookman Old Style"/>
          <w:b/>
        </w:rPr>
        <w:t xml:space="preserve"> </w:t>
      </w:r>
      <w:r w:rsidRPr="00C62B29">
        <w:rPr>
          <w:rFonts w:ascii="Bookman Old Style" w:hAnsi="Bookman Old Style"/>
        </w:rPr>
        <w:t>Przyjąć należy – z braku innych unormowań w tym zakresie – że celem dochodzenia wprowadzonego w projekcie ustawy, zgodnie z art. 297 § 1 k.p.k. w zw. z art. 69 Prawa o notariacie będzie  ustalenie, czy w ogóle doszło do popełnienia deliktu i czy stanowi on przewinienie dyscyplinarne, ustalenie jego sprawcy, zebranie o nim danych osobopoznawczych, wyjaśnienie okoliczności sprawy (w zakresie czasu, miejsca i sposobu działania sprawcy, zawinienia i stopnia społecznej szkodliwości), zebranie, zabezpieczenie i utrwalenie dowodów w zakresie niezbędnym do stwierdzenia zasadności wniesienia wniosku o wszczęcie postępowania dyscyplinarnego przez sąd albo innego zakończenia postępowania, jak również do przedstawienia wniosku o dopuszczenie tych dowodów i przeprowadzenia ich przed sądem oraz dążenie do wyjaśnienia okoliczności, które sprzyjały popełnieniu czynu</w:t>
      </w:r>
      <w:r w:rsidRPr="00C62B29">
        <w:rPr>
          <w:rStyle w:val="Odwoanieprzypisudolnego"/>
          <w:rFonts w:ascii="Bookman Old Style" w:hAnsi="Bookman Old Style"/>
        </w:rPr>
        <w:footnoteReference w:id="21"/>
      </w:r>
      <w:r w:rsidRPr="00C62B29">
        <w:rPr>
          <w:rFonts w:ascii="Bookman Old Style" w:hAnsi="Bookman Old Style"/>
        </w:rPr>
        <w:t xml:space="preserve">. Zmianę </w:t>
      </w:r>
      <w:r w:rsidR="007E6334" w:rsidRPr="00C62B29">
        <w:rPr>
          <w:rFonts w:ascii="Bookman Old Style" w:hAnsi="Bookman Old Style"/>
        </w:rPr>
        <w:t>powyższą należy</w:t>
      </w:r>
      <w:r w:rsidRPr="00C62B29">
        <w:rPr>
          <w:rFonts w:ascii="Bookman Old Style" w:hAnsi="Bookman Old Style"/>
        </w:rPr>
        <w:t xml:space="preserve"> ocenić z ostrożnym optymizmem</w:t>
      </w:r>
      <w:r w:rsidR="00FA5FB8" w:rsidRPr="00C62B29">
        <w:rPr>
          <w:rFonts w:ascii="Bookman Old Style" w:hAnsi="Bookman Old Style"/>
        </w:rPr>
        <w:t>, choć n</w:t>
      </w:r>
      <w:r w:rsidRPr="00C62B29">
        <w:rPr>
          <w:rFonts w:ascii="Bookman Old Style" w:hAnsi="Bookman Old Style"/>
        </w:rPr>
        <w:t>ieuzasadnionym wydaje się przyznanie uprawnień do zbierania dowodów jedynie Rzecznikowi Dyscyplinarnemu Notariatu, z pominięciem innych organów uprawnionych do złożenia wniosku o wszczęcie post</w:t>
      </w:r>
      <w:r w:rsidR="00C32637" w:rsidRPr="00C62B29">
        <w:rPr>
          <w:rFonts w:ascii="Bookman Old Style" w:hAnsi="Bookman Old Style"/>
        </w:rPr>
        <w:t>ę</w:t>
      </w:r>
      <w:r w:rsidRPr="00C62B29">
        <w:rPr>
          <w:rFonts w:ascii="Bookman Old Style" w:hAnsi="Bookman Old Style"/>
        </w:rPr>
        <w:t>powania dyscyplinarnego.</w:t>
      </w:r>
    </w:p>
    <w:p w14:paraId="777F5ABB" w14:textId="77777777" w:rsidR="00442AA1" w:rsidRPr="00C62B29" w:rsidRDefault="00442AA1" w:rsidP="001049D3">
      <w:pPr>
        <w:pStyle w:val="ZUSTzmustartykuempunktem"/>
        <w:ind w:left="0"/>
        <w:rPr>
          <w:rFonts w:ascii="Bookman Old Style" w:hAnsi="Bookman Old Style"/>
          <w:b/>
        </w:rPr>
      </w:pPr>
      <w:r w:rsidRPr="00C62B29">
        <w:rPr>
          <w:rFonts w:ascii="Bookman Old Style" w:hAnsi="Bookman Old Style"/>
          <w:b/>
        </w:rPr>
        <w:t xml:space="preserve">odnośnie projektowanego art. 70a </w:t>
      </w:r>
      <w:r w:rsidR="00461B4F" w:rsidRPr="00C62B29">
        <w:rPr>
          <w:rFonts w:ascii="Bookman Old Style" w:hAnsi="Bookman Old Style"/>
          <w:b/>
        </w:rPr>
        <w:t>§ 2</w:t>
      </w:r>
      <w:r w:rsidRPr="00C62B29">
        <w:rPr>
          <w:rFonts w:ascii="Bookman Old Style" w:hAnsi="Bookman Old Style"/>
          <w:b/>
        </w:rPr>
        <w:t xml:space="preserve"> pr.not.</w:t>
      </w:r>
    </w:p>
    <w:p w14:paraId="6BC8B1D7" w14:textId="77777777" w:rsidR="00E07966" w:rsidRPr="00C62B29" w:rsidRDefault="00461B4F" w:rsidP="001049D3">
      <w:pPr>
        <w:pStyle w:val="ZUSTzmustartykuempunktem"/>
        <w:ind w:left="0"/>
        <w:rPr>
          <w:rFonts w:ascii="Bookman Old Style" w:hAnsi="Bookman Old Style"/>
        </w:rPr>
      </w:pPr>
      <w:r w:rsidRPr="00C62B29">
        <w:rPr>
          <w:rFonts w:ascii="Bookman Old Style" w:hAnsi="Bookman Old Style"/>
        </w:rPr>
        <w:t>Przepis powyższy nie wskazuje żadnych – minimalnych choćby wymogów stawianych Rzecznikowi Dyscyplinarnemu Notariatu, brak jest w szczególności stwierdzenia, że musi on być notariuszem. Przykładowo – w aktualnym stanie prawnym rzecznik dyscyplinarny powoływany jest spośród członków samorządu – walnego zgromadzenia, a więc jest notariuszem, nie może być przy tym karany dyscyplinarnie karą wyższą niż upomnienie, zaś rzecznik dyscyplinarny przy KRN jest powoływany spośród jego członków. Biorąc pod uwagę powyższe należy podzielić obawy istniejące na gruncie ustawy o komornikach</w:t>
      </w:r>
      <w:r w:rsidRPr="00C62B29">
        <w:rPr>
          <w:rStyle w:val="Odwoanieprzypisudolnego"/>
          <w:rFonts w:ascii="Bookman Old Style" w:hAnsi="Bookman Old Style"/>
        </w:rPr>
        <w:footnoteReference w:id="22"/>
      </w:r>
      <w:r w:rsidRPr="00C62B29">
        <w:rPr>
          <w:rFonts w:ascii="Bookman Old Style" w:hAnsi="Bookman Old Style"/>
        </w:rPr>
        <w:t>, czy Minister Sprawiedliwości może nie powołać na stanowisko rzecznika dyscyplinarnego żadnego z trzech kandydatów.</w:t>
      </w:r>
    </w:p>
    <w:p w14:paraId="0D5B7354" w14:textId="77777777" w:rsidR="00461B4F" w:rsidRPr="00C62B29" w:rsidRDefault="00461B4F" w:rsidP="001049D3">
      <w:pPr>
        <w:pStyle w:val="ZUSTzmustartykuempunktem"/>
        <w:ind w:left="0"/>
        <w:rPr>
          <w:rFonts w:ascii="Bookman Old Style" w:hAnsi="Bookman Old Style"/>
        </w:rPr>
      </w:pPr>
      <w:r w:rsidRPr="00C62B29">
        <w:rPr>
          <w:rFonts w:ascii="Bookman Old Style" w:hAnsi="Bookman Old Style"/>
        </w:rPr>
        <w:lastRenderedPageBreak/>
        <w:t xml:space="preserve">R. Reiwer zakłada, że „przy założeniu, że przedstawiono Ministrowi Sprawiedliwości kandydatów o nieposzlakowanej opinii i spełniających wskazane wyżej warunki brzegowe powołania (analogiczne do wymaganych od członka komisji dyscyplinarnej i komornika wizytatora), wybór powinien nastąpić. Wydaje się, że tylko zupełnie wyjątkowo, wiedza Ministra Sprawiedliwości wynikająca z czynności nadzorczych na poziomie Ministerstwa Sprawiedliwości, względnie przekazana Ministrowi Sprawiedliwości przez inne – niższe organy nadzoru administracyjnego mogłaby zdecydować o niepowołaniu żadnego z kandydatów.” Rozważania powyższe wydają się w praktyce być możliwe i prawdopodobne. </w:t>
      </w:r>
      <w:r w:rsidR="00897FFD" w:rsidRPr="00C62B29">
        <w:rPr>
          <w:rFonts w:ascii="Bookman Old Style" w:hAnsi="Bookman Old Style"/>
        </w:rPr>
        <w:t xml:space="preserve">Dlatego już na etapie projektu ustawy należy wprowadzić rozwiązania, które powyższe obawy rozwieją. </w:t>
      </w:r>
      <w:r w:rsidRPr="00C62B29">
        <w:rPr>
          <w:rFonts w:ascii="Bookman Old Style" w:hAnsi="Bookman Old Style"/>
        </w:rPr>
        <w:t>Zasadnym zatem byłoby dookreślenie zakresu wymagań wobec Rzecznika celem wyeliminowania powyższych wątpliwości.</w:t>
      </w:r>
    </w:p>
    <w:p w14:paraId="0864187D" w14:textId="77777777" w:rsidR="008266F6" w:rsidRPr="00C62B29" w:rsidRDefault="008266F6" w:rsidP="001049D3">
      <w:pPr>
        <w:pStyle w:val="ZUSTzmustartykuempunktem"/>
        <w:ind w:left="0"/>
        <w:rPr>
          <w:rFonts w:ascii="Bookman Old Style" w:hAnsi="Bookman Old Style"/>
        </w:rPr>
      </w:pPr>
    </w:p>
    <w:p w14:paraId="030C2504" w14:textId="77777777" w:rsidR="004F2E16" w:rsidRPr="00C62B29" w:rsidRDefault="00461B4F" w:rsidP="001049D3">
      <w:pPr>
        <w:numPr>
          <w:ilvl w:val="0"/>
          <w:numId w:val="5"/>
        </w:numPr>
        <w:suppressAutoHyphens/>
        <w:spacing w:line="276" w:lineRule="auto"/>
        <w:jc w:val="both"/>
        <w:rPr>
          <w:rFonts w:ascii="Bookman Old Style" w:hAnsi="Bookman Old Style" w:cs="Arial"/>
          <w:b/>
          <w:spacing w:val="4"/>
          <w:sz w:val="28"/>
          <w:szCs w:val="28"/>
        </w:rPr>
      </w:pPr>
      <w:r w:rsidRPr="00C62B29">
        <w:rPr>
          <w:rFonts w:ascii="Bookman Old Style" w:hAnsi="Bookman Old Style" w:cs="Arial"/>
          <w:b/>
          <w:spacing w:val="4"/>
          <w:sz w:val="28"/>
          <w:szCs w:val="28"/>
        </w:rPr>
        <w:t>odnośnie art. 1 pkt 20 i 21 oraz art. 4 Projektu</w:t>
      </w:r>
    </w:p>
    <w:p w14:paraId="03F4C760" w14:textId="77777777" w:rsidR="00461B4F" w:rsidRPr="00C62B29" w:rsidRDefault="00461B4F" w:rsidP="001049D3">
      <w:pPr>
        <w:suppressAutoHyphens/>
        <w:spacing w:line="360" w:lineRule="auto"/>
        <w:ind w:firstLine="567"/>
        <w:rPr>
          <w:rFonts w:ascii="Bookman Old Style" w:hAnsi="Bookman Old Style"/>
          <w:b/>
          <w:bCs/>
        </w:rPr>
      </w:pPr>
      <w:r w:rsidRPr="00C62B29">
        <w:rPr>
          <w:rFonts w:ascii="Bookman Old Style" w:hAnsi="Bookman Old Style"/>
          <w:b/>
          <w:bCs/>
        </w:rPr>
        <w:t xml:space="preserve">1. Podstawowe założenia proponowanych zmian w </w:t>
      </w:r>
      <w:r w:rsidR="008266F6" w:rsidRPr="00C62B29">
        <w:rPr>
          <w:rFonts w:ascii="Bookman Old Style" w:hAnsi="Bookman Old Style"/>
          <w:b/>
          <w:bCs/>
        </w:rPr>
        <w:t>P</w:t>
      </w:r>
      <w:r w:rsidRPr="00C62B29">
        <w:rPr>
          <w:rFonts w:ascii="Bookman Old Style" w:hAnsi="Bookman Old Style"/>
          <w:b/>
          <w:bCs/>
        </w:rPr>
        <w:t>rojekcie</w:t>
      </w:r>
    </w:p>
    <w:p w14:paraId="609154D7" w14:textId="0C1959BD" w:rsidR="00461B4F" w:rsidRPr="00C62B29" w:rsidRDefault="00461B4F" w:rsidP="001049D3">
      <w:pPr>
        <w:suppressAutoHyphens/>
        <w:spacing w:line="360" w:lineRule="auto"/>
        <w:ind w:firstLine="567"/>
        <w:jc w:val="both"/>
        <w:rPr>
          <w:rFonts w:ascii="Bookman Old Style" w:hAnsi="Bookman Old Style"/>
          <w:lang w:eastAsia="pl-PL"/>
        </w:rPr>
      </w:pPr>
      <w:r w:rsidRPr="00C62B29">
        <w:rPr>
          <w:rFonts w:ascii="Bookman Old Style" w:hAnsi="Bookman Old Style"/>
        </w:rPr>
        <w:t xml:space="preserve">Przygotowany </w:t>
      </w:r>
      <w:r w:rsidR="008266F6" w:rsidRPr="00C62B29">
        <w:rPr>
          <w:rFonts w:ascii="Bookman Old Style" w:hAnsi="Bookman Old Style"/>
        </w:rPr>
        <w:t>P</w:t>
      </w:r>
      <w:r w:rsidRPr="00C62B29">
        <w:rPr>
          <w:rFonts w:ascii="Bookman Old Style" w:hAnsi="Bookman Old Style"/>
        </w:rPr>
        <w:t xml:space="preserve">rojekt </w:t>
      </w:r>
      <w:r w:rsidRPr="00C62B29">
        <w:rPr>
          <w:rFonts w:ascii="Bookman Old Style" w:hAnsi="Bookman Old Style"/>
          <w:bCs/>
        </w:rPr>
        <w:t>w zakresie samej koncepcji uczestnictwa notariuszy w prowadzeniu ksiąg wieczystych</w:t>
      </w:r>
      <w:r w:rsidR="00A63AB6" w:rsidRPr="00C62B29">
        <w:rPr>
          <w:rFonts w:ascii="Bookman Old Style" w:hAnsi="Bookman Old Style"/>
          <w:bCs/>
        </w:rPr>
        <w:t xml:space="preserve"> nie jest czymś nowym. </w:t>
      </w:r>
      <w:r w:rsidRPr="00C62B29">
        <w:rPr>
          <w:rFonts w:ascii="Bookman Old Style" w:hAnsi="Bookman Old Style"/>
        </w:rPr>
        <w:t xml:space="preserve">Koncepcja powierzenia notariuszowi bezpośrednio dokonania wpisu, przy jednoczesnym pozostawieniu prowadzenia ksiąg wieczystych przez sądy odpowiada dążeniom do wykorzystania przy prowadzeniu </w:t>
      </w:r>
      <w:r w:rsidR="001F048B" w:rsidRPr="00C62B29">
        <w:rPr>
          <w:rFonts w:ascii="Bookman Old Style" w:hAnsi="Bookman Old Style"/>
        </w:rPr>
        <w:t xml:space="preserve">ksiąg wieczystych </w:t>
      </w:r>
      <w:r w:rsidRPr="00C62B29">
        <w:rPr>
          <w:rFonts w:ascii="Bookman Old Style" w:hAnsi="Bookman Old Style"/>
        </w:rPr>
        <w:t>najnowszych technologii informatycznych, gwarantujących bezzwłoczne ujaw</w:t>
      </w:r>
      <w:r w:rsidR="000E5172" w:rsidRPr="00C62B29">
        <w:rPr>
          <w:rFonts w:ascii="Bookman Old Style" w:hAnsi="Bookman Old Style"/>
        </w:rPr>
        <w:t>n</w:t>
      </w:r>
      <w:r w:rsidRPr="00C62B29">
        <w:rPr>
          <w:rFonts w:ascii="Bookman Old Style" w:hAnsi="Bookman Old Style"/>
        </w:rPr>
        <w:t xml:space="preserve">ienia w księgach wieczystych skutków dokonanych czynności notarialnych. Przyjęta koncepcja jest w zasadzie zbieżna z założeniami modernizacji systemów rejestracji nieruchomości w innych państwach europejskich, choć większość z nich idzie już dalej niż </w:t>
      </w:r>
      <w:r w:rsidR="002D7DA2">
        <w:rPr>
          <w:rFonts w:ascii="Bookman Old Style" w:hAnsi="Bookman Old Style"/>
        </w:rPr>
        <w:t>P</w:t>
      </w:r>
      <w:r w:rsidRPr="00C62B29">
        <w:rPr>
          <w:rFonts w:ascii="Bookman Old Style" w:hAnsi="Bookman Old Style"/>
        </w:rPr>
        <w:t>rojekt</w:t>
      </w:r>
      <w:r w:rsidRPr="00C62B29">
        <w:rPr>
          <w:rStyle w:val="Odwoanieprzypisudolnego"/>
          <w:rFonts w:ascii="Bookman Old Style" w:hAnsi="Bookman Old Style"/>
        </w:rPr>
        <w:footnoteReference w:id="23"/>
      </w:r>
      <w:r w:rsidRPr="00C62B29">
        <w:rPr>
          <w:rFonts w:ascii="Bookman Old Style" w:hAnsi="Bookman Old Style"/>
        </w:rPr>
        <w:t xml:space="preserve"> co najlepiej widać w szczególności w porównaniu do systemów e-conveyancing, o których można powiedzieć, że stanowią „Land Registraction for the Twenty First Century”</w:t>
      </w:r>
      <w:r w:rsidRPr="00C62B29">
        <w:rPr>
          <w:rStyle w:val="Odwoanieprzypisudolnego"/>
          <w:rFonts w:ascii="Bookman Old Style" w:hAnsi="Bookman Old Style"/>
        </w:rPr>
        <w:footnoteReference w:id="24"/>
      </w:r>
      <w:r w:rsidRPr="00C62B29">
        <w:rPr>
          <w:rFonts w:ascii="Bookman Old Style" w:hAnsi="Bookman Old Style"/>
        </w:rPr>
        <w:t xml:space="preserve">. W kontekście </w:t>
      </w:r>
      <w:r w:rsidRPr="00C62B29">
        <w:rPr>
          <w:rFonts w:ascii="Bookman Old Style" w:hAnsi="Bookman Old Style"/>
        </w:rPr>
        <w:lastRenderedPageBreak/>
        <w:t>powyższego trafna wydaje się w szczególności koncepcja</w:t>
      </w:r>
      <w:r w:rsidR="000E5172" w:rsidRPr="00C62B29">
        <w:rPr>
          <w:rFonts w:ascii="Bookman Old Style" w:hAnsi="Bookman Old Style"/>
        </w:rPr>
        <w:t>,</w:t>
      </w:r>
      <w:r w:rsidRPr="00C62B29">
        <w:rPr>
          <w:rFonts w:ascii="Bookman Old Style" w:hAnsi="Bookman Old Style"/>
        </w:rPr>
        <w:t xml:space="preserve"> według której notariusz dokonuje wpisu</w:t>
      </w:r>
      <w:r w:rsidR="000E5172" w:rsidRPr="00C62B29">
        <w:rPr>
          <w:rFonts w:ascii="Bookman Old Style" w:hAnsi="Bookman Old Style"/>
        </w:rPr>
        <w:t>,</w:t>
      </w:r>
      <w:r w:rsidRPr="00C62B29">
        <w:rPr>
          <w:rFonts w:ascii="Bookman Old Style" w:hAnsi="Bookman Old Style"/>
        </w:rPr>
        <w:t xml:space="preserve"> a w</w:t>
      </w:r>
      <w:r w:rsidRPr="00C62B29">
        <w:rPr>
          <w:rStyle w:val="Brak"/>
          <w:rFonts w:ascii="Bookman Old Style" w:hAnsi="Bookman Old Style"/>
        </w:rPr>
        <w:t xml:space="preserve"> przypadku braku podstaw do dokonania wpisu lub istnienia przeszkody do jego dokonania, notariusz przekazuje wniosek o wpis do sądu (proponowany art. 626</w:t>
      </w:r>
      <w:r w:rsidRPr="00C62B29">
        <w:rPr>
          <w:rStyle w:val="Brak"/>
          <w:rFonts w:ascii="Bookman Old Style" w:hAnsi="Bookman Old Style"/>
          <w:vertAlign w:val="superscript"/>
        </w:rPr>
        <w:t>8</w:t>
      </w:r>
      <w:r w:rsidRPr="00C62B29">
        <w:rPr>
          <w:rStyle w:val="Brak"/>
          <w:rFonts w:ascii="Bookman Old Style" w:hAnsi="Bookman Old Style"/>
        </w:rPr>
        <w:t xml:space="preserve"> § 14 k.p.c.</w:t>
      </w:r>
      <w:r w:rsidR="00B01DF0" w:rsidRPr="00C62B29">
        <w:rPr>
          <w:rStyle w:val="Brak"/>
          <w:rFonts w:ascii="Bookman Old Style" w:hAnsi="Bookman Old Style"/>
        </w:rPr>
        <w:t>).</w:t>
      </w:r>
      <w:r w:rsidRPr="00C62B29">
        <w:rPr>
          <w:rStyle w:val="Brak"/>
          <w:rFonts w:ascii="Bookman Old Style" w:hAnsi="Bookman Old Style"/>
        </w:rPr>
        <w:t xml:space="preserve"> Powyższe powierzenie notariuszowi wyłącznie wpisu każe co najwyżej </w:t>
      </w:r>
      <w:r w:rsidRPr="00C62B29">
        <w:rPr>
          <w:rStyle w:val="Brak"/>
          <w:rFonts w:ascii="Bookman Old Style" w:hAnsi="Bookman Old Style"/>
          <w:bCs/>
        </w:rPr>
        <w:t xml:space="preserve">rozważyć czy skoro aktywność </w:t>
      </w:r>
      <w:r w:rsidR="00B01DF0" w:rsidRPr="00C62B29">
        <w:rPr>
          <w:rStyle w:val="Brak"/>
          <w:rFonts w:ascii="Bookman Old Style" w:hAnsi="Bookman Old Style"/>
          <w:bCs/>
        </w:rPr>
        <w:t xml:space="preserve">notariusza </w:t>
      </w:r>
      <w:r w:rsidRPr="00C62B29">
        <w:rPr>
          <w:rStyle w:val="Brak"/>
          <w:rFonts w:ascii="Bookman Old Style" w:hAnsi="Bookman Old Style"/>
          <w:bCs/>
        </w:rPr>
        <w:t>ograniczona jest</w:t>
      </w:r>
      <w:r w:rsidR="00B01DF0" w:rsidRPr="00C62B29">
        <w:rPr>
          <w:rStyle w:val="Brak"/>
          <w:rFonts w:ascii="Bookman Old Style" w:hAnsi="Bookman Old Style"/>
          <w:bCs/>
        </w:rPr>
        <w:t xml:space="preserve"> do</w:t>
      </w:r>
      <w:r w:rsidRPr="00C62B29">
        <w:rPr>
          <w:rStyle w:val="Brak"/>
          <w:rFonts w:ascii="Bookman Old Style" w:hAnsi="Bookman Old Style"/>
          <w:bCs/>
        </w:rPr>
        <w:t xml:space="preserve"> uwzględnienia wniosku</w:t>
      </w:r>
      <w:r w:rsidR="00B01DF0" w:rsidRPr="00C62B29">
        <w:rPr>
          <w:rStyle w:val="Brak"/>
          <w:rFonts w:ascii="Bookman Old Style" w:hAnsi="Bookman Old Style"/>
          <w:bCs/>
        </w:rPr>
        <w:t>,</w:t>
      </w:r>
      <w:r w:rsidRPr="00C62B29">
        <w:rPr>
          <w:rStyle w:val="Brak"/>
          <w:rFonts w:ascii="Bookman Old Style" w:hAnsi="Bookman Old Style"/>
          <w:bCs/>
        </w:rPr>
        <w:t xml:space="preserve"> trafne jest użycie w stosunku do czynności notariusza zwrotu „rozpoznaje wniosek” i czy nie lepiej w proponowanym brzmieniu </w:t>
      </w:r>
      <w:r w:rsidRPr="00C62B29">
        <w:rPr>
          <w:rFonts w:ascii="Bookman Old Style" w:hAnsi="Bookman Old Style"/>
          <w:bCs/>
        </w:rPr>
        <w:t>art. 79 pkt 1d Prawa o notariacie</w:t>
      </w:r>
      <w:r w:rsidRPr="00C62B29">
        <w:rPr>
          <w:rStyle w:val="Brak"/>
          <w:rFonts w:ascii="Bookman Old Style" w:hAnsi="Bookman Old Style"/>
          <w:bCs/>
        </w:rPr>
        <w:t xml:space="preserve"> poprzestać na zwrocie „dokonuje wpisu”</w:t>
      </w:r>
      <w:r w:rsidRPr="00C62B29">
        <w:rPr>
          <w:rStyle w:val="Brak"/>
          <w:rFonts w:ascii="Bookman Old Style" w:hAnsi="Bookman Old Style"/>
        </w:rPr>
        <w:t xml:space="preserve"> </w:t>
      </w:r>
      <w:r w:rsidRPr="00C62B29">
        <w:rPr>
          <w:rStyle w:val="Brak"/>
          <w:rFonts w:ascii="Bookman Old Style" w:hAnsi="Bookman Old Style"/>
          <w:bCs/>
        </w:rPr>
        <w:t>lub „rozpoznaje wniosek wpisem”</w:t>
      </w:r>
      <w:r w:rsidRPr="00C62B29">
        <w:rPr>
          <w:rStyle w:val="Brak"/>
          <w:rFonts w:ascii="Bookman Old Style" w:hAnsi="Bookman Old Style"/>
        </w:rPr>
        <w:t xml:space="preserve"> jako zgodnych z konstrukcją art. 626</w:t>
      </w:r>
      <w:r w:rsidRPr="00C62B29">
        <w:rPr>
          <w:rStyle w:val="Brak"/>
          <w:rFonts w:ascii="Bookman Old Style" w:hAnsi="Bookman Old Style"/>
          <w:vertAlign w:val="superscript"/>
        </w:rPr>
        <w:t>8</w:t>
      </w:r>
      <w:r w:rsidRPr="00C62B29">
        <w:rPr>
          <w:rStyle w:val="Brak"/>
          <w:rFonts w:ascii="Bookman Old Style" w:hAnsi="Bookman Old Style"/>
        </w:rPr>
        <w:t xml:space="preserve"> § 12-14 k.p.c.</w:t>
      </w:r>
      <w:r w:rsidR="00B01DF0" w:rsidRPr="00C62B29">
        <w:rPr>
          <w:rStyle w:val="Brak"/>
          <w:rFonts w:ascii="Bookman Old Style" w:hAnsi="Bookman Old Style"/>
        </w:rPr>
        <w:t>?</w:t>
      </w:r>
      <w:r w:rsidRPr="00C62B29">
        <w:rPr>
          <w:rStyle w:val="Brak"/>
          <w:rFonts w:ascii="Bookman Old Style" w:hAnsi="Bookman Old Style"/>
        </w:rPr>
        <w:t xml:space="preserve"> Zbędne wydaje </w:t>
      </w:r>
      <w:r w:rsidR="00B01DF0" w:rsidRPr="00C62B29">
        <w:rPr>
          <w:rStyle w:val="Brak"/>
          <w:rFonts w:ascii="Bookman Old Style" w:hAnsi="Bookman Old Style"/>
        </w:rPr>
        <w:t xml:space="preserve">się </w:t>
      </w:r>
      <w:r w:rsidRPr="00C62B29">
        <w:rPr>
          <w:rStyle w:val="Brak"/>
          <w:rFonts w:ascii="Bookman Old Style" w:hAnsi="Bookman Old Style"/>
        </w:rPr>
        <w:t>w tym kontekście także uzupełnianie art. 8</w:t>
      </w:r>
      <w:r w:rsidR="0037787E" w:rsidRPr="00C62B29">
        <w:rPr>
          <w:rStyle w:val="Brak"/>
          <w:rFonts w:ascii="Bookman Old Style" w:hAnsi="Bookman Old Style"/>
        </w:rPr>
        <w:t xml:space="preserve"> u.k.w.h.</w:t>
      </w:r>
      <w:r w:rsidRPr="00C62B29">
        <w:rPr>
          <w:rStyle w:val="Brak"/>
          <w:rFonts w:ascii="Bookman Old Style" w:hAnsi="Bookman Old Style"/>
        </w:rPr>
        <w:t xml:space="preserve"> poprzez odwołanie do „wniosku o wpis złożon</w:t>
      </w:r>
      <w:r w:rsidR="00B01DF0" w:rsidRPr="00C62B29">
        <w:rPr>
          <w:rStyle w:val="Brak"/>
          <w:rFonts w:ascii="Bookman Old Style" w:hAnsi="Bookman Old Style"/>
        </w:rPr>
        <w:t>ego</w:t>
      </w:r>
      <w:r w:rsidRPr="00C62B29">
        <w:rPr>
          <w:rStyle w:val="Brak"/>
          <w:rFonts w:ascii="Bookman Old Style" w:hAnsi="Bookman Old Style"/>
        </w:rPr>
        <w:t xml:space="preserve"> notariuszowi”, zwłaszcza, że samego charakteru tego wniosku przepisy nie precyzują w żadnym miejscu</w:t>
      </w:r>
      <w:r w:rsidR="009B27C6" w:rsidRPr="00C62B29">
        <w:rPr>
          <w:rStyle w:val="Brak"/>
          <w:rFonts w:ascii="Bookman Old Style" w:hAnsi="Bookman Old Style"/>
        </w:rPr>
        <w:t>. K</w:t>
      </w:r>
      <w:r w:rsidRPr="00C62B29">
        <w:rPr>
          <w:rStyle w:val="Brak"/>
          <w:rFonts w:ascii="Bookman Old Style" w:hAnsi="Bookman Old Style"/>
        </w:rPr>
        <w:t>westi</w:t>
      </w:r>
      <w:r w:rsidR="009B27C6" w:rsidRPr="00C62B29">
        <w:rPr>
          <w:rStyle w:val="Brak"/>
          <w:rFonts w:ascii="Bookman Old Style" w:hAnsi="Bookman Old Style"/>
        </w:rPr>
        <w:t>ę</w:t>
      </w:r>
      <w:r w:rsidRPr="00C62B29">
        <w:rPr>
          <w:rStyle w:val="Brak"/>
          <w:rFonts w:ascii="Bookman Old Style" w:hAnsi="Bookman Old Style"/>
        </w:rPr>
        <w:t xml:space="preserve"> tę</w:t>
      </w:r>
      <w:r w:rsidR="009B27C6" w:rsidRPr="00C62B29">
        <w:rPr>
          <w:rStyle w:val="Brak"/>
          <w:rFonts w:ascii="Bookman Old Style" w:hAnsi="Bookman Old Style"/>
        </w:rPr>
        <w:t>,</w:t>
      </w:r>
      <w:r w:rsidRPr="00C62B29">
        <w:rPr>
          <w:rStyle w:val="Brak"/>
          <w:rFonts w:ascii="Bookman Old Style" w:hAnsi="Bookman Old Style"/>
        </w:rPr>
        <w:t xml:space="preserve"> podobnie jak w przypadku charakteru wniosku jako czynności notarialnej</w:t>
      </w:r>
      <w:r w:rsidR="009B27C6" w:rsidRPr="00C62B29">
        <w:rPr>
          <w:rStyle w:val="Brak"/>
          <w:rFonts w:ascii="Bookman Old Style" w:hAnsi="Bookman Old Style"/>
        </w:rPr>
        <w:t>,</w:t>
      </w:r>
      <w:r w:rsidRPr="00C62B29">
        <w:rPr>
          <w:rStyle w:val="Brak"/>
          <w:rFonts w:ascii="Bookman Old Style" w:hAnsi="Bookman Old Style"/>
        </w:rPr>
        <w:t xml:space="preserve"> wystarczy pozostawić doktrynie i orzecznictwu. Ponadto należy spostrzec, że </w:t>
      </w:r>
      <w:r w:rsidR="002D7DA2">
        <w:rPr>
          <w:rStyle w:val="Brak"/>
          <w:rFonts w:ascii="Bookman Old Style" w:hAnsi="Bookman Old Style"/>
        </w:rPr>
        <w:t>P</w:t>
      </w:r>
      <w:r w:rsidRPr="00C62B29">
        <w:rPr>
          <w:rStyle w:val="Brak"/>
          <w:rFonts w:ascii="Bookman Old Style" w:hAnsi="Bookman Old Style"/>
        </w:rPr>
        <w:t>rojekt nie proponuje zmiany art. 626</w:t>
      </w:r>
      <w:r w:rsidRPr="00C62B29">
        <w:rPr>
          <w:rStyle w:val="Brak"/>
          <w:rFonts w:ascii="Bookman Old Style" w:hAnsi="Bookman Old Style"/>
          <w:vertAlign w:val="superscript"/>
        </w:rPr>
        <w:t>7</w:t>
      </w:r>
      <w:r w:rsidRPr="00C62B29">
        <w:rPr>
          <w:rStyle w:val="Brak"/>
          <w:rFonts w:ascii="Bookman Old Style" w:hAnsi="Bookman Old Style"/>
        </w:rPr>
        <w:t xml:space="preserve"> </w:t>
      </w:r>
      <w:r w:rsidR="007E6334" w:rsidRPr="00C62B29">
        <w:rPr>
          <w:rStyle w:val="Brak"/>
          <w:rFonts w:ascii="Bookman Old Style" w:hAnsi="Bookman Old Style"/>
        </w:rPr>
        <w:t>§ 2.</w:t>
      </w:r>
      <w:r w:rsidRPr="00C62B29">
        <w:rPr>
          <w:rStyle w:val="Brak"/>
          <w:rFonts w:ascii="Bookman Old Style" w:hAnsi="Bookman Old Style"/>
        </w:rPr>
        <w:t> </w:t>
      </w:r>
      <w:r w:rsidR="0037787E" w:rsidRPr="00C62B29">
        <w:rPr>
          <w:rStyle w:val="Brak"/>
          <w:rFonts w:ascii="Bookman Old Style" w:hAnsi="Bookman Old Style"/>
        </w:rPr>
        <w:t>k</w:t>
      </w:r>
      <w:r w:rsidRPr="00C62B29">
        <w:rPr>
          <w:rStyle w:val="Brak"/>
          <w:rFonts w:ascii="Bookman Old Style" w:hAnsi="Bookman Old Style"/>
        </w:rPr>
        <w:t>.p.c. zakładając</w:t>
      </w:r>
      <w:r w:rsidR="009B27C6" w:rsidRPr="00C62B29">
        <w:rPr>
          <w:rStyle w:val="Brak"/>
          <w:rFonts w:ascii="Bookman Old Style" w:hAnsi="Bookman Old Style"/>
        </w:rPr>
        <w:t>ego</w:t>
      </w:r>
      <w:r w:rsidRPr="00C62B29">
        <w:rPr>
          <w:rStyle w:val="Brak"/>
          <w:rFonts w:ascii="Bookman Old Style" w:hAnsi="Bookman Old Style"/>
        </w:rPr>
        <w:t xml:space="preserve"> automatyczne umieszczenie wzmianki z chwilą umieszczenia wniosku w systemie, wobec czego zmiana art. 8</w:t>
      </w:r>
      <w:r w:rsidR="0037787E" w:rsidRPr="00C62B29">
        <w:rPr>
          <w:rStyle w:val="Brak"/>
          <w:rFonts w:ascii="Bookman Old Style" w:hAnsi="Bookman Old Style"/>
        </w:rPr>
        <w:t xml:space="preserve"> u.k.w.h.</w:t>
      </w:r>
      <w:r w:rsidRPr="00C62B29">
        <w:rPr>
          <w:rStyle w:val="Brak"/>
          <w:rFonts w:ascii="Bookman Old Style" w:hAnsi="Bookman Old Style"/>
        </w:rPr>
        <w:t xml:space="preserve"> jest zbędna. Proponowane w </w:t>
      </w:r>
      <w:r w:rsidR="002D7DA2">
        <w:rPr>
          <w:rStyle w:val="Brak"/>
          <w:rFonts w:ascii="Bookman Old Style" w:hAnsi="Bookman Old Style"/>
        </w:rPr>
        <w:t>P</w:t>
      </w:r>
      <w:r w:rsidRPr="00C62B29">
        <w:rPr>
          <w:rStyle w:val="Brak"/>
          <w:rFonts w:ascii="Bookman Old Style" w:hAnsi="Bookman Old Style"/>
        </w:rPr>
        <w:t>rojekcie rozwiązanie pozwala w szczególności uniknąć zarzutów, że notariusz rozpoznaje swój własny wniosek</w:t>
      </w:r>
      <w:r w:rsidRPr="00C62B29">
        <w:rPr>
          <w:rStyle w:val="Odwoanieprzypisudolnego"/>
          <w:rFonts w:ascii="Bookman Old Style" w:hAnsi="Bookman Old Style"/>
        </w:rPr>
        <w:footnoteReference w:id="25"/>
      </w:r>
      <w:r w:rsidRPr="00C62B29">
        <w:rPr>
          <w:rStyle w:val="Brak"/>
          <w:rFonts w:ascii="Bookman Old Style" w:hAnsi="Bookman Old Style"/>
        </w:rPr>
        <w:t xml:space="preserve"> co proponowana zmiana ma dodatkowo podkreślić, zawężając wpisy notariusza </w:t>
      </w:r>
      <w:r w:rsidR="001D41F5" w:rsidRPr="00C62B29">
        <w:rPr>
          <w:rStyle w:val="Brak"/>
          <w:rFonts w:ascii="Bookman Old Style" w:hAnsi="Bookman Old Style"/>
        </w:rPr>
        <w:t>d</w:t>
      </w:r>
      <w:r w:rsidRPr="00C62B29">
        <w:rPr>
          <w:rStyle w:val="Brak"/>
          <w:rFonts w:ascii="Bookman Old Style" w:hAnsi="Bookman Old Style"/>
        </w:rPr>
        <w:t>o przypadków absolutnie niespornych i niebudzących wątpliwości co do wywołania zamierzonych przez strony skutków. Przy zastosowanej konstrukcji skargi na wpis notariusza ostatecznie każdy wniosek może zostać rozpoznany przez sąd.</w:t>
      </w:r>
    </w:p>
    <w:p w14:paraId="427097F5" w14:textId="3161A6CF" w:rsidR="00461B4F" w:rsidRPr="00C62B29" w:rsidRDefault="00461B4F" w:rsidP="001049D3">
      <w:pPr>
        <w:suppressAutoHyphens/>
        <w:spacing w:line="360" w:lineRule="auto"/>
        <w:ind w:firstLine="567"/>
        <w:jc w:val="both"/>
        <w:rPr>
          <w:rStyle w:val="Brak"/>
          <w:rFonts w:ascii="Bookman Old Style" w:hAnsi="Bookman Old Style"/>
        </w:rPr>
      </w:pPr>
      <w:r w:rsidRPr="00C62B29">
        <w:rPr>
          <w:rFonts w:ascii="Bookman Old Style" w:hAnsi="Bookman Old Style"/>
        </w:rPr>
        <w:t>Doświadczenia wynikające z nowelizacji Prawa o notariacie wprowadzającej w ograniczonym zakresie teleinformatyczny wniosek jako czynność notarialną</w:t>
      </w:r>
      <w:r w:rsidR="001D41F5" w:rsidRPr="00C62B29">
        <w:rPr>
          <w:rFonts w:ascii="Bookman Old Style" w:hAnsi="Bookman Old Style"/>
        </w:rPr>
        <w:t>, a</w:t>
      </w:r>
      <w:r w:rsidRPr="00C62B29">
        <w:rPr>
          <w:rFonts w:ascii="Bookman Old Style" w:hAnsi="Bookman Old Style"/>
        </w:rPr>
        <w:t xml:space="preserve"> w szczególności kontrowersje w zakresie zdania drugiego </w:t>
      </w:r>
      <w:r w:rsidRPr="00C62B29">
        <w:rPr>
          <w:rStyle w:val="Brak"/>
          <w:rFonts w:ascii="Bookman Old Style" w:hAnsi="Bookman Old Style"/>
        </w:rPr>
        <w:t xml:space="preserve">art. 92 § 4 </w:t>
      </w:r>
      <w:r w:rsidR="00E23D9E" w:rsidRPr="00C62B29">
        <w:rPr>
          <w:rFonts w:ascii="Bookman Old Style" w:hAnsi="Bookman Old Style"/>
        </w:rPr>
        <w:t>pr.not.</w:t>
      </w:r>
      <w:r w:rsidRPr="00C62B29">
        <w:rPr>
          <w:rFonts w:ascii="Bookman Old Style" w:hAnsi="Bookman Old Style"/>
        </w:rPr>
        <w:t xml:space="preserve"> wskazują, jak ważna jest jednoznaczna redakcja przepisów określających zakres uprawnień notariusza.</w:t>
      </w:r>
      <w:r w:rsidRPr="00C62B29">
        <w:rPr>
          <w:rStyle w:val="Brak"/>
          <w:rFonts w:ascii="Bookman Old Style" w:hAnsi="Bookman Old Style"/>
        </w:rPr>
        <w:t xml:space="preserve"> Mimo</w:t>
      </w:r>
      <w:r w:rsidR="001D41F5" w:rsidRPr="00C62B29">
        <w:rPr>
          <w:rStyle w:val="Brak"/>
          <w:rFonts w:ascii="Bookman Old Style" w:hAnsi="Bookman Old Style"/>
        </w:rPr>
        <w:t>,</w:t>
      </w:r>
      <w:r w:rsidRPr="00C62B29">
        <w:rPr>
          <w:rStyle w:val="Brak"/>
          <w:rFonts w:ascii="Bookman Old Style" w:hAnsi="Bookman Old Style"/>
        </w:rPr>
        <w:t xml:space="preserve"> że ustawodawca użył szerokiego odwołania do „czynności notarialnej” i </w:t>
      </w:r>
      <w:r w:rsidRPr="00C62B29">
        <w:rPr>
          <w:rFonts w:ascii="Bookman Old Style" w:hAnsi="Bookman Old Style"/>
        </w:rPr>
        <w:t>sama</w:t>
      </w:r>
      <w:r w:rsidRPr="00C62B29">
        <w:rPr>
          <w:rStyle w:val="Brak"/>
          <w:rFonts w:ascii="Bookman Old Style" w:hAnsi="Bookman Old Style"/>
        </w:rPr>
        <w:t xml:space="preserve"> literalna </w:t>
      </w:r>
      <w:r w:rsidRPr="00C62B29">
        <w:rPr>
          <w:rStyle w:val="Brak"/>
          <w:rFonts w:ascii="Bookman Old Style" w:hAnsi="Bookman Old Style"/>
        </w:rPr>
        <w:lastRenderedPageBreak/>
        <w:t>wykładnia przemawia za uznaniem, że zd. 2 dotyczy także innych niż akty notarialne czynności notarialnych</w:t>
      </w:r>
      <w:r w:rsidR="001D41F5" w:rsidRPr="00C62B29">
        <w:rPr>
          <w:rStyle w:val="Brak"/>
          <w:rFonts w:ascii="Bookman Old Style" w:hAnsi="Bookman Old Style"/>
        </w:rPr>
        <w:t>,</w:t>
      </w:r>
      <w:r w:rsidRPr="00C62B29">
        <w:rPr>
          <w:rStyle w:val="Brak"/>
          <w:rFonts w:ascii="Bookman Old Style" w:hAnsi="Bookman Old Style"/>
        </w:rPr>
        <w:t xml:space="preserve"> to ostatecznie orzecznictwo sądowe opowiedziało się za wąskim rozumieniem tego przepisu</w:t>
      </w:r>
      <w:r w:rsidRPr="00C62B29">
        <w:rPr>
          <w:rStyle w:val="Brak"/>
          <w:rFonts w:ascii="Bookman Old Style" w:eastAsia="Times New Roman" w:hAnsi="Bookman Old Style"/>
          <w:vertAlign w:val="superscript"/>
        </w:rPr>
        <w:footnoteReference w:id="26"/>
      </w:r>
      <w:r w:rsidR="001D41F5" w:rsidRPr="00C62B29">
        <w:rPr>
          <w:rStyle w:val="Brak"/>
          <w:rFonts w:ascii="Bookman Old Style" w:hAnsi="Bookman Old Style"/>
        </w:rPr>
        <w:t>.</w:t>
      </w:r>
      <w:r w:rsidRPr="00C62B29">
        <w:rPr>
          <w:rStyle w:val="Brak"/>
          <w:rFonts w:ascii="Bookman Old Style" w:hAnsi="Bookman Old Style"/>
        </w:rPr>
        <w:t xml:space="preserve"> </w:t>
      </w:r>
      <w:r w:rsidR="006E2299" w:rsidRPr="00C62B29">
        <w:rPr>
          <w:rStyle w:val="Brak"/>
          <w:rFonts w:ascii="Bookman Old Style" w:hAnsi="Bookman Old Style"/>
        </w:rPr>
        <w:t>Taka sytuacja</w:t>
      </w:r>
      <w:r w:rsidRPr="00C62B29">
        <w:rPr>
          <w:rStyle w:val="Brak"/>
          <w:rFonts w:ascii="Bookman Old Style" w:hAnsi="Bookman Old Style"/>
        </w:rPr>
        <w:t xml:space="preserve"> z całą pewnością nie służy wiarygodności ksiąg wieczystych i jako tak</w:t>
      </w:r>
      <w:r w:rsidR="006E2299" w:rsidRPr="00C62B29">
        <w:rPr>
          <w:rStyle w:val="Brak"/>
          <w:rFonts w:ascii="Bookman Old Style" w:hAnsi="Bookman Old Style"/>
        </w:rPr>
        <w:t>a</w:t>
      </w:r>
      <w:r w:rsidRPr="00C62B29">
        <w:rPr>
          <w:rStyle w:val="Brak"/>
          <w:rFonts w:ascii="Bookman Old Style" w:hAnsi="Bookman Old Style"/>
        </w:rPr>
        <w:t xml:space="preserve"> pozostaje w sprzeczności także z funkcjonalną wykładnią tego przepisu. Miarodajna jest w tym zakresie krytyka</w:t>
      </w:r>
      <w:r w:rsidRPr="00C62B29">
        <w:rPr>
          <w:rStyle w:val="Brak"/>
          <w:rFonts w:ascii="Bookman Old Style" w:eastAsia="Times New Roman" w:hAnsi="Bookman Old Style"/>
          <w:vertAlign w:val="superscript"/>
        </w:rPr>
        <w:footnoteReference w:id="27"/>
      </w:r>
      <w:r w:rsidRPr="00C62B29">
        <w:rPr>
          <w:rStyle w:val="Brak"/>
          <w:rFonts w:ascii="Bookman Old Style" w:hAnsi="Bookman Old Style"/>
        </w:rPr>
        <w:t xml:space="preserve"> dokonana przez </w:t>
      </w:r>
      <w:r w:rsidRPr="00C62B29">
        <w:rPr>
          <w:rStyle w:val="Brak"/>
          <w:rFonts w:ascii="Bookman Old Style" w:hAnsi="Bookman Old Style"/>
          <w:iCs/>
        </w:rPr>
        <w:t>S. Posadzego</w:t>
      </w:r>
      <w:r w:rsidRPr="00C62B29">
        <w:rPr>
          <w:rStyle w:val="Brak"/>
          <w:rFonts w:ascii="Bookman Old Style" w:hAnsi="Bookman Old Style"/>
        </w:rPr>
        <w:t xml:space="preserve"> w glosie</w:t>
      </w:r>
      <w:r w:rsidRPr="00C62B29">
        <w:rPr>
          <w:rStyle w:val="Brak"/>
          <w:rFonts w:ascii="Bookman Old Style" w:eastAsia="Times New Roman" w:hAnsi="Bookman Old Style"/>
          <w:vertAlign w:val="superscript"/>
        </w:rPr>
        <w:footnoteReference w:id="28"/>
      </w:r>
      <w:r w:rsidRPr="00C62B29">
        <w:rPr>
          <w:rStyle w:val="Brak"/>
          <w:rFonts w:ascii="Bookman Old Style" w:hAnsi="Bookman Old Style"/>
        </w:rPr>
        <w:t xml:space="preserve"> do wyroku Sądu Najwyższego z dnia 1 grudnia 2016 r. III ZS 3/16 (w przedmiocie zgodności z prawem uchw. KRN z 17.6.2016 r. w sprawie zmiany Regulaminu wewnętrznego urzędowania kancelarii notarialnej)</w:t>
      </w:r>
      <w:r w:rsidR="008F2B2B" w:rsidRPr="00C62B29">
        <w:rPr>
          <w:rStyle w:val="Brak"/>
          <w:rFonts w:ascii="Bookman Old Style" w:hAnsi="Bookman Old Style"/>
        </w:rPr>
        <w:t xml:space="preserve">. W </w:t>
      </w:r>
      <w:r w:rsidR="00643509" w:rsidRPr="00C62B29">
        <w:rPr>
          <w:rStyle w:val="Brak"/>
          <w:rFonts w:ascii="Bookman Old Style" w:hAnsi="Bookman Old Style"/>
        </w:rPr>
        <w:t>w</w:t>
      </w:r>
      <w:r w:rsidR="008F2B2B" w:rsidRPr="00C62B29">
        <w:rPr>
          <w:rStyle w:val="Brak"/>
          <w:rFonts w:ascii="Bookman Old Style" w:hAnsi="Bookman Old Style"/>
        </w:rPr>
        <w:t>yroku tym</w:t>
      </w:r>
      <w:r w:rsidRPr="00C62B29">
        <w:rPr>
          <w:rStyle w:val="Brak"/>
          <w:rFonts w:ascii="Bookman Old Style" w:hAnsi="Bookman Old Style"/>
        </w:rPr>
        <w:t xml:space="preserve"> SN przyjął, że skoro w tej samej jednostce redakcyjnej art. 92 § 4 </w:t>
      </w:r>
      <w:r w:rsidR="0037787E" w:rsidRPr="00C62B29">
        <w:rPr>
          <w:rStyle w:val="Brak"/>
          <w:rFonts w:ascii="Bookman Old Style" w:hAnsi="Bookman Old Style"/>
        </w:rPr>
        <w:t>pr.not.</w:t>
      </w:r>
      <w:r w:rsidRPr="00C62B29">
        <w:rPr>
          <w:rStyle w:val="Brak"/>
          <w:rFonts w:ascii="Bookman Old Style" w:hAnsi="Bookman Old Style"/>
        </w:rPr>
        <w:t xml:space="preserve"> ustawodawca określił w zd</w:t>
      </w:r>
      <w:r w:rsidR="008F2B2B" w:rsidRPr="00C62B29">
        <w:rPr>
          <w:rStyle w:val="Brak"/>
          <w:rFonts w:ascii="Bookman Old Style" w:hAnsi="Bookman Old Style"/>
        </w:rPr>
        <w:t>aniu</w:t>
      </w:r>
      <w:r w:rsidRPr="00C62B29">
        <w:rPr>
          <w:rStyle w:val="Brak"/>
          <w:rFonts w:ascii="Bookman Old Style" w:hAnsi="Bookman Old Style"/>
        </w:rPr>
        <w:t xml:space="preserve"> 1 przypadki, w których notariusz zobligowany jest złożyć z urzędu wniosek o wpis do księgi wieczystej za pośrednictwem systemu teleinformatycznego, a w zd</w:t>
      </w:r>
      <w:r w:rsidR="008F2B2B" w:rsidRPr="00C62B29">
        <w:rPr>
          <w:rStyle w:val="Brak"/>
          <w:rFonts w:ascii="Bookman Old Style" w:hAnsi="Bookman Old Style"/>
        </w:rPr>
        <w:t>aniu</w:t>
      </w:r>
      <w:r w:rsidRPr="00C62B29">
        <w:rPr>
          <w:rStyle w:val="Brak"/>
          <w:rFonts w:ascii="Bookman Old Style" w:hAnsi="Bookman Old Style"/>
        </w:rPr>
        <w:t xml:space="preserve"> 2 tej samej jednostki redakcyjnej umożliwił, na żądanie strony czynności notarialnej, dokonanie w księdze wieczystej także innego wpisu związanego z czynnością notarialną, akcentując, że gdyby zamiarem ustawodawcy było umożliwienie notariuszowi złożenia, na żądanie strony czynności notarialnej wniosku o wpis do księgi wieczystej bez względu na rodzaj dokonywanej czynności notarialnej, to uczyniłby to w odrębnej jednostce redakcyjnej ustawy</w:t>
      </w:r>
      <w:r w:rsidR="00697BFE" w:rsidRPr="00C62B29">
        <w:rPr>
          <w:rStyle w:val="Brak"/>
          <w:rFonts w:ascii="Bookman Old Style" w:hAnsi="Bookman Old Style"/>
        </w:rPr>
        <w:t>. W powołanej glosie S.</w:t>
      </w:r>
      <w:r w:rsidR="007E6334" w:rsidRPr="00C62B29">
        <w:rPr>
          <w:rStyle w:val="Brak"/>
          <w:rFonts w:ascii="Bookman Old Style" w:hAnsi="Bookman Old Style"/>
        </w:rPr>
        <w:t xml:space="preserve"> </w:t>
      </w:r>
      <w:r w:rsidR="00697BFE" w:rsidRPr="00C62B29">
        <w:rPr>
          <w:rStyle w:val="Brak"/>
          <w:rFonts w:ascii="Bookman Old Style" w:hAnsi="Bookman Old Style"/>
        </w:rPr>
        <w:t xml:space="preserve">Posadzy stanął na stanowisku, w kontrowersji do poglądu SN wyrażonym w wyroku, </w:t>
      </w:r>
      <w:r w:rsidRPr="00C62B29">
        <w:rPr>
          <w:rStyle w:val="Brak"/>
          <w:rFonts w:ascii="Bookman Old Style" w:hAnsi="Bookman Old Style"/>
        </w:rPr>
        <w:t>że notariusz, składając wniosek o wpis do księgi wieczystej na podstawie art. 92 § 4 zd</w:t>
      </w:r>
      <w:r w:rsidR="00793BF8" w:rsidRPr="00C62B29">
        <w:rPr>
          <w:rStyle w:val="Brak"/>
          <w:rFonts w:ascii="Bookman Old Style" w:hAnsi="Bookman Old Style"/>
        </w:rPr>
        <w:t>anie</w:t>
      </w:r>
      <w:r w:rsidRPr="00C62B29">
        <w:rPr>
          <w:rStyle w:val="Brak"/>
          <w:rFonts w:ascii="Bookman Old Style" w:hAnsi="Bookman Old Style"/>
        </w:rPr>
        <w:t xml:space="preserve"> 1 </w:t>
      </w:r>
      <w:r w:rsidR="0037787E" w:rsidRPr="00C62B29">
        <w:rPr>
          <w:rStyle w:val="Brak"/>
          <w:rFonts w:ascii="Bookman Old Style" w:hAnsi="Bookman Old Style"/>
        </w:rPr>
        <w:t>pr.not</w:t>
      </w:r>
      <w:r w:rsidRPr="00C62B29">
        <w:rPr>
          <w:rStyle w:val="Brak"/>
          <w:rFonts w:ascii="Bookman Old Style" w:hAnsi="Bookman Old Style"/>
        </w:rPr>
        <w:t xml:space="preserve">, jest uprawniony uwzględnić, na żądanie strony, dokonanie w księdze wieczystej także innego wpisu, jeśli jest on związany z czynnością dokonywaną w akcie notarialnym. </w:t>
      </w:r>
      <w:r w:rsidR="00D32C9C" w:rsidRPr="00C62B29">
        <w:rPr>
          <w:rStyle w:val="Brak"/>
          <w:rFonts w:ascii="Bookman Old Style" w:hAnsi="Bookman Old Style"/>
        </w:rPr>
        <w:t>Z powyższych względów</w:t>
      </w:r>
      <w:r w:rsidRPr="00C62B29">
        <w:rPr>
          <w:rFonts w:ascii="Bookman Old Style" w:hAnsi="Bookman Old Style"/>
        </w:rPr>
        <w:t xml:space="preserve"> niezbędne jest </w:t>
      </w:r>
      <w:r w:rsidRPr="00C62B29">
        <w:rPr>
          <w:rFonts w:ascii="Bookman Old Style" w:hAnsi="Bookman Old Style"/>
          <w:bCs/>
          <w:u w:val="single"/>
        </w:rPr>
        <w:t xml:space="preserve">uzgodnienie brzmienia proponowanego art. 79 pkt 1d </w:t>
      </w:r>
      <w:r w:rsidR="00643509" w:rsidRPr="00C62B29">
        <w:rPr>
          <w:rFonts w:ascii="Bookman Old Style" w:hAnsi="Bookman Old Style"/>
          <w:bCs/>
          <w:u w:val="single"/>
        </w:rPr>
        <w:t>pr.not.</w:t>
      </w:r>
      <w:r w:rsidRPr="00C62B29">
        <w:rPr>
          <w:rFonts w:ascii="Bookman Old Style" w:hAnsi="Bookman Old Style"/>
          <w:bCs/>
          <w:u w:val="single"/>
        </w:rPr>
        <w:t xml:space="preserve"> i proponowanego brzmienia </w:t>
      </w:r>
      <w:r w:rsidRPr="00C62B29">
        <w:rPr>
          <w:rStyle w:val="Brak"/>
          <w:rFonts w:ascii="Bookman Old Style" w:hAnsi="Bookman Old Style"/>
          <w:bCs/>
          <w:u w:val="single"/>
        </w:rPr>
        <w:t>art. 626</w:t>
      </w:r>
      <w:r w:rsidRPr="00C62B29">
        <w:rPr>
          <w:rStyle w:val="Brak"/>
          <w:rFonts w:ascii="Bookman Old Style" w:hAnsi="Bookman Old Style"/>
          <w:bCs/>
          <w:u w:val="single"/>
          <w:vertAlign w:val="superscript"/>
        </w:rPr>
        <w:t xml:space="preserve">8 </w:t>
      </w:r>
      <w:r w:rsidRPr="00C62B29">
        <w:rPr>
          <w:rStyle w:val="Brak"/>
          <w:rFonts w:ascii="Bookman Old Style" w:hAnsi="Bookman Old Style"/>
          <w:bCs/>
          <w:u w:val="single"/>
        </w:rPr>
        <w:t>§ 12 k.p.c.</w:t>
      </w:r>
      <w:r w:rsidRPr="00C62B29">
        <w:rPr>
          <w:rStyle w:val="Brak"/>
          <w:rFonts w:ascii="Bookman Old Style" w:hAnsi="Bookman Old Style"/>
          <w:u w:val="single"/>
        </w:rPr>
        <w:t xml:space="preserve"> </w:t>
      </w:r>
      <w:r w:rsidRPr="00C62B29">
        <w:rPr>
          <w:rStyle w:val="Brak"/>
          <w:rFonts w:ascii="Bookman Old Style" w:hAnsi="Bookman Old Style"/>
        </w:rPr>
        <w:t>Dla uniknięcia wątpliwości zakres dopuszczalnych wpisów powinien być identyczny</w:t>
      </w:r>
      <w:r w:rsidR="00D32C9C" w:rsidRPr="00C62B29">
        <w:rPr>
          <w:rStyle w:val="Brak"/>
          <w:rFonts w:ascii="Bookman Old Style" w:hAnsi="Bookman Old Style"/>
        </w:rPr>
        <w:t>. N</w:t>
      </w:r>
      <w:r w:rsidRPr="00C62B29">
        <w:rPr>
          <w:rStyle w:val="Brak"/>
          <w:rFonts w:ascii="Bookman Old Style" w:hAnsi="Bookman Old Style"/>
        </w:rPr>
        <w:t xml:space="preserve">ajlepszym rozwiązaniem wydawałoby się pozostawienie regulacji tylko w </w:t>
      </w:r>
      <w:r w:rsidR="002D7DA2">
        <w:rPr>
          <w:rStyle w:val="Brak"/>
          <w:rFonts w:ascii="Bookman Old Style" w:hAnsi="Bookman Old Style"/>
        </w:rPr>
        <w:t>P</w:t>
      </w:r>
      <w:r w:rsidRPr="00C62B29">
        <w:rPr>
          <w:rFonts w:ascii="Bookman Old Style" w:hAnsi="Bookman Old Style"/>
        </w:rPr>
        <w:t>rawie o notariacie</w:t>
      </w:r>
      <w:r w:rsidR="005238B3" w:rsidRPr="00C62B29">
        <w:rPr>
          <w:rFonts w:ascii="Bookman Old Style" w:hAnsi="Bookman Old Style"/>
        </w:rPr>
        <w:t>,</w:t>
      </w:r>
      <w:r w:rsidRPr="00C62B29">
        <w:rPr>
          <w:rFonts w:ascii="Bookman Old Style" w:hAnsi="Bookman Old Style"/>
        </w:rPr>
        <w:t xml:space="preserve"> analogicznie jak </w:t>
      </w:r>
      <w:r w:rsidRPr="00C62B29">
        <w:rPr>
          <w:rStyle w:val="Brak"/>
          <w:rFonts w:ascii="Bookman Old Style" w:hAnsi="Bookman Old Style"/>
        </w:rPr>
        <w:t xml:space="preserve">art. 92 </w:t>
      </w:r>
      <w:r w:rsidRPr="00C62B29">
        <w:rPr>
          <w:rStyle w:val="Brak"/>
          <w:rFonts w:ascii="Bookman Old Style" w:hAnsi="Bookman Old Style"/>
        </w:rPr>
        <w:lastRenderedPageBreak/>
        <w:t xml:space="preserve">§ 4 </w:t>
      </w:r>
      <w:r w:rsidR="0037787E" w:rsidRPr="00C62B29">
        <w:rPr>
          <w:rStyle w:val="Brak"/>
          <w:rFonts w:ascii="Bookman Old Style" w:hAnsi="Bookman Old Style"/>
        </w:rPr>
        <w:t>pr.not.</w:t>
      </w:r>
      <w:r w:rsidR="005238B3" w:rsidRPr="00C62B29">
        <w:rPr>
          <w:rStyle w:val="Brak"/>
          <w:rFonts w:ascii="Bookman Old Style" w:hAnsi="Bookman Old Style"/>
        </w:rPr>
        <w:t>,</w:t>
      </w:r>
      <w:r w:rsidRPr="00C62B29">
        <w:rPr>
          <w:rFonts w:ascii="Bookman Old Style" w:hAnsi="Bookman Old Style"/>
        </w:rPr>
        <w:t xml:space="preserve"> bez zbędnego powtarzania tego zakresu w przepisach kodeksu postępowania cywilnego, a w to miejsce odsyłając jedynie do ustawy </w:t>
      </w:r>
      <w:r w:rsidR="002D7DA2">
        <w:rPr>
          <w:rFonts w:ascii="Bookman Old Style" w:hAnsi="Bookman Old Style"/>
        </w:rPr>
        <w:t>- P</w:t>
      </w:r>
      <w:r w:rsidRPr="00C62B29">
        <w:rPr>
          <w:rFonts w:ascii="Bookman Old Style" w:hAnsi="Bookman Old Style"/>
        </w:rPr>
        <w:t xml:space="preserve">rawo o </w:t>
      </w:r>
      <w:r w:rsidR="005238B3" w:rsidRPr="00C62B29">
        <w:rPr>
          <w:rFonts w:ascii="Bookman Old Style" w:hAnsi="Bookman Old Style"/>
        </w:rPr>
        <w:t>n</w:t>
      </w:r>
      <w:r w:rsidRPr="00C62B29">
        <w:rPr>
          <w:rFonts w:ascii="Bookman Old Style" w:hAnsi="Bookman Old Style"/>
        </w:rPr>
        <w:t>otariacie lub ogólniej</w:t>
      </w:r>
      <w:r w:rsidR="00D32C9C" w:rsidRPr="00C62B29">
        <w:rPr>
          <w:rFonts w:ascii="Bookman Old Style" w:hAnsi="Bookman Old Style"/>
        </w:rPr>
        <w:t xml:space="preserve"> -</w:t>
      </w:r>
      <w:r w:rsidRPr="00C62B29">
        <w:rPr>
          <w:rFonts w:ascii="Bookman Old Style" w:hAnsi="Bookman Old Style"/>
        </w:rPr>
        <w:t xml:space="preserve"> do </w:t>
      </w:r>
      <w:r w:rsidR="004605C8" w:rsidRPr="00C62B29">
        <w:rPr>
          <w:rFonts w:ascii="Bookman Old Style" w:hAnsi="Bookman Old Style"/>
        </w:rPr>
        <w:t>p</w:t>
      </w:r>
      <w:r w:rsidRPr="00C62B29">
        <w:rPr>
          <w:rFonts w:ascii="Bookman Old Style" w:hAnsi="Bookman Old Style"/>
        </w:rPr>
        <w:t xml:space="preserve">rzepisów </w:t>
      </w:r>
      <w:r w:rsidR="004605C8" w:rsidRPr="00C62B29">
        <w:rPr>
          <w:rFonts w:ascii="Bookman Old Style" w:hAnsi="Bookman Old Style"/>
        </w:rPr>
        <w:t>„</w:t>
      </w:r>
      <w:r w:rsidRPr="00C62B29">
        <w:rPr>
          <w:rFonts w:ascii="Bookman Old Style" w:hAnsi="Bookman Old Style"/>
        </w:rPr>
        <w:t>Ustawy</w:t>
      </w:r>
      <w:r w:rsidR="004605C8" w:rsidRPr="00C62B29">
        <w:rPr>
          <w:rFonts w:ascii="Bookman Old Style" w:hAnsi="Bookman Old Style"/>
        </w:rPr>
        <w:t>”</w:t>
      </w:r>
      <w:r w:rsidRPr="00C62B29">
        <w:rPr>
          <w:rFonts w:ascii="Bookman Old Style" w:hAnsi="Bookman Old Style"/>
        </w:rPr>
        <w:t>, jeżeli przyjąć konstrukcję legislacyjną zamieszczania tych przepisów także w innych ustawach regulujących dopuszczalność wpisów do księgi wieczystej.</w:t>
      </w:r>
    </w:p>
    <w:p w14:paraId="74827714" w14:textId="30D77897" w:rsidR="00461B4F" w:rsidRPr="00C62B29" w:rsidRDefault="00461B4F" w:rsidP="001049D3">
      <w:pPr>
        <w:suppressAutoHyphens/>
        <w:spacing w:line="360" w:lineRule="auto"/>
        <w:ind w:firstLine="567"/>
        <w:jc w:val="both"/>
        <w:rPr>
          <w:rFonts w:ascii="Bookman Old Style" w:hAnsi="Bookman Old Style"/>
          <w:lang w:eastAsia="pl-PL"/>
        </w:rPr>
      </w:pPr>
      <w:r w:rsidRPr="00C62B29">
        <w:rPr>
          <w:rStyle w:val="Brak"/>
          <w:rFonts w:ascii="Bookman Old Style" w:hAnsi="Bookman Old Style"/>
        </w:rPr>
        <w:t>Dostrzegając</w:t>
      </w:r>
      <w:r w:rsidR="00D32C9C" w:rsidRPr="00C62B29">
        <w:rPr>
          <w:rStyle w:val="Brak"/>
          <w:rFonts w:ascii="Bookman Old Style" w:hAnsi="Bookman Old Style"/>
        </w:rPr>
        <w:t>,</w:t>
      </w:r>
      <w:r w:rsidRPr="00C62B29">
        <w:rPr>
          <w:rStyle w:val="Brak"/>
          <w:rFonts w:ascii="Bookman Old Style" w:hAnsi="Bookman Old Style"/>
        </w:rPr>
        <w:t xml:space="preserve"> że przygotowany </w:t>
      </w:r>
      <w:r w:rsidR="002D7DA2">
        <w:rPr>
          <w:rStyle w:val="Brak"/>
          <w:rFonts w:ascii="Bookman Old Style" w:hAnsi="Bookman Old Style"/>
        </w:rPr>
        <w:t>P</w:t>
      </w:r>
      <w:r w:rsidRPr="00C62B29">
        <w:rPr>
          <w:rStyle w:val="Brak"/>
          <w:rFonts w:ascii="Bookman Old Style" w:hAnsi="Bookman Old Style"/>
        </w:rPr>
        <w:t>rojekt w zakresie proponowanego zakresu dopuszczalnych wpisów notariusza zbliżony jest do p</w:t>
      </w:r>
      <w:r w:rsidRPr="00C62B29">
        <w:rPr>
          <w:rFonts w:ascii="Bookman Old Style" w:hAnsi="Bookman Old Style"/>
        </w:rPr>
        <w:t>ortugalskiego Serwisu Casa Pronta, który zapewnia kompleksową obsługę użytkowników, umożliwiając dokonywanie wszelkich niezbędnych formalności związanych z zakupem i sprzedażą, darowiznami i innymi czynnościami, w tym zaciąganiem kredytu hipotecznego i założeniem księgi dla lokalu</w:t>
      </w:r>
      <w:r w:rsidRPr="00C62B29">
        <w:rPr>
          <w:rStyle w:val="Odwoanieprzypisudolnego"/>
          <w:rFonts w:ascii="Bookman Old Style" w:hAnsi="Bookman Old Style"/>
        </w:rPr>
        <w:footnoteReference w:id="29"/>
      </w:r>
      <w:r w:rsidRPr="00C62B29">
        <w:rPr>
          <w:rFonts w:ascii="Bookman Old Style" w:hAnsi="Bookman Old Style"/>
        </w:rPr>
        <w:t>. Spoglądając na ten wzór zasadnym wydaje się sięgni</w:t>
      </w:r>
      <w:r w:rsidR="004875DB" w:rsidRPr="00C62B29">
        <w:rPr>
          <w:rFonts w:ascii="Bookman Old Style" w:hAnsi="Bookman Old Style"/>
        </w:rPr>
        <w:t>ę</w:t>
      </w:r>
      <w:r w:rsidRPr="00C62B29">
        <w:rPr>
          <w:rFonts w:ascii="Bookman Old Style" w:hAnsi="Bookman Old Style"/>
        </w:rPr>
        <w:t>cie jeszcze po jeden jego element</w:t>
      </w:r>
      <w:r w:rsidR="004875DB" w:rsidRPr="00C62B29">
        <w:rPr>
          <w:rFonts w:ascii="Bookman Old Style" w:hAnsi="Bookman Old Style"/>
        </w:rPr>
        <w:t>,</w:t>
      </w:r>
      <w:r w:rsidRPr="00C62B29">
        <w:rPr>
          <w:rFonts w:ascii="Bookman Old Style" w:hAnsi="Bookman Old Style"/>
        </w:rPr>
        <w:t xml:space="preserve"> to jest informatyzację obrotu w sprawach</w:t>
      </w:r>
      <w:r w:rsidR="004875DB" w:rsidRPr="00C62B29">
        <w:rPr>
          <w:rFonts w:ascii="Bookman Old Style" w:hAnsi="Bookman Old Style"/>
        </w:rPr>
        <w:t>,</w:t>
      </w:r>
      <w:r w:rsidRPr="00C62B29">
        <w:rPr>
          <w:rFonts w:ascii="Bookman Old Style" w:hAnsi="Bookman Old Style"/>
        </w:rPr>
        <w:t xml:space="preserve"> w których występuje ustawowy pierwokup nieruchomości. Kwestia ta jest tym bardziej </w:t>
      </w:r>
      <w:r w:rsidR="007E6334" w:rsidRPr="00C62B29">
        <w:rPr>
          <w:rFonts w:ascii="Bookman Old Style" w:hAnsi="Bookman Old Style"/>
        </w:rPr>
        <w:t>pilna,</w:t>
      </w:r>
      <w:r w:rsidRPr="00C62B29">
        <w:rPr>
          <w:rFonts w:ascii="Bookman Old Style" w:hAnsi="Bookman Old Style"/>
        </w:rPr>
        <w:t xml:space="preserve"> że zachodzi konieczność wdrożenia zmian</w:t>
      </w:r>
      <w:r w:rsidRPr="00C62B29">
        <w:rPr>
          <w:rStyle w:val="Odwoanieprzypisudolnego"/>
          <w:rFonts w:ascii="Bookman Old Style" w:hAnsi="Bookman Old Style"/>
          <w:shd w:val="clear" w:color="auto" w:fill="FFFFFF"/>
        </w:rPr>
        <w:footnoteReference w:id="30"/>
      </w:r>
      <w:r w:rsidRPr="00C62B29">
        <w:rPr>
          <w:rFonts w:ascii="Bookman Old Style" w:hAnsi="Bookman Old Style"/>
          <w:shd w:val="clear" w:color="auto" w:fill="FFFFFF"/>
        </w:rPr>
        <w:t xml:space="preserve"> dokonanych przez art. 98 pkt 1 ustawy z dnia 18 listopada 2020 r. (Dz.U.2020.2320)</w:t>
      </w:r>
      <w:r w:rsidR="004875DB" w:rsidRPr="00C62B29">
        <w:rPr>
          <w:rFonts w:ascii="Bookman Old Style" w:hAnsi="Bookman Old Style"/>
          <w:shd w:val="clear" w:color="auto" w:fill="FFFFFF"/>
        </w:rPr>
        <w:t>,</w:t>
      </w:r>
      <w:r w:rsidRPr="00C62B29">
        <w:rPr>
          <w:rFonts w:ascii="Bookman Old Style" w:hAnsi="Bookman Old Style"/>
          <w:shd w:val="clear" w:color="auto" w:fill="FFFFFF"/>
        </w:rPr>
        <w:t xml:space="preserve"> obejmującej nowelizację ustawy z dnia 11 kwietnia 2003 r. o kształtowaniu ustroju rolnego, </w:t>
      </w:r>
      <w:r w:rsidR="004875DB" w:rsidRPr="00C62B29">
        <w:rPr>
          <w:rFonts w:ascii="Bookman Old Style" w:hAnsi="Bookman Old Style"/>
          <w:shd w:val="clear" w:color="auto" w:fill="FFFFFF"/>
        </w:rPr>
        <w:t xml:space="preserve">a </w:t>
      </w:r>
      <w:r w:rsidR="007E6334" w:rsidRPr="00C62B29">
        <w:rPr>
          <w:rFonts w:ascii="Bookman Old Style" w:hAnsi="Bookman Old Style"/>
          <w:shd w:val="clear" w:color="auto" w:fill="FFFFFF"/>
        </w:rPr>
        <w:t>więc</w:t>
      </w:r>
      <w:r w:rsidRPr="00C62B29">
        <w:rPr>
          <w:rFonts w:ascii="Bookman Old Style" w:hAnsi="Bookman Old Style"/>
          <w:shd w:val="clear" w:color="auto" w:fill="FFFFFF"/>
        </w:rPr>
        <w:t xml:space="preserve"> obie</w:t>
      </w:r>
      <w:r w:rsidR="004875DB" w:rsidRPr="00C62B29">
        <w:rPr>
          <w:rFonts w:ascii="Bookman Old Style" w:hAnsi="Bookman Old Style"/>
          <w:shd w:val="clear" w:color="auto" w:fill="FFFFFF"/>
        </w:rPr>
        <w:t xml:space="preserve"> te</w:t>
      </w:r>
      <w:r w:rsidRPr="00C62B29">
        <w:rPr>
          <w:rFonts w:ascii="Bookman Old Style" w:hAnsi="Bookman Old Style"/>
          <w:shd w:val="clear" w:color="auto" w:fill="FFFFFF"/>
        </w:rPr>
        <w:t xml:space="preserve"> kwestie można połączyć dla samego obniżenia kosztów. Proponowane rozwiązanie w postaci uzupełnienia brzmienia </w:t>
      </w:r>
      <w:r w:rsidRPr="00C62B29">
        <w:rPr>
          <w:rStyle w:val="Brak"/>
          <w:rFonts w:ascii="Bookman Old Style" w:hAnsi="Bookman Old Style"/>
        </w:rPr>
        <w:t xml:space="preserve">w art. 92a </w:t>
      </w:r>
      <w:r w:rsidR="007E6334" w:rsidRPr="00C62B29">
        <w:rPr>
          <w:rStyle w:val="Brak"/>
          <w:rFonts w:ascii="Bookman Old Style" w:hAnsi="Bookman Old Style"/>
        </w:rPr>
        <w:t>§ 2</w:t>
      </w:r>
      <w:r w:rsidRPr="00C62B29">
        <w:rPr>
          <w:rStyle w:val="Brak"/>
          <w:rFonts w:ascii="Bookman Old Style" w:hAnsi="Bookman Old Style"/>
        </w:rPr>
        <w:t xml:space="preserve"> </w:t>
      </w:r>
      <w:r w:rsidR="0037787E" w:rsidRPr="00C62B29">
        <w:rPr>
          <w:rStyle w:val="Brak"/>
          <w:rFonts w:ascii="Bookman Old Style" w:hAnsi="Bookman Old Style"/>
        </w:rPr>
        <w:t>pr.not.</w:t>
      </w:r>
      <w:r w:rsidRPr="00C62B29">
        <w:rPr>
          <w:rStyle w:val="Brak"/>
          <w:rFonts w:ascii="Bookman Old Style" w:hAnsi="Bookman Old Style"/>
        </w:rPr>
        <w:t xml:space="preserve"> poprzez rozszerzenie zakresu składanych wypisów i przyznaniu złożeniu do CREWAN skutków analogicznych jak złożenie do akt księgi wieczystej. Proponowane założenie wychodzi w szczególności naprzeciw propozycj</w:t>
      </w:r>
      <w:r w:rsidR="00396751" w:rsidRPr="00C62B29">
        <w:rPr>
          <w:rStyle w:val="Brak"/>
          <w:rFonts w:ascii="Bookman Old Style" w:hAnsi="Bookman Old Style"/>
        </w:rPr>
        <w:t>om</w:t>
      </w:r>
      <w:r w:rsidRPr="00C62B29">
        <w:rPr>
          <w:rStyle w:val="Brak"/>
          <w:rFonts w:ascii="Bookman Old Style" w:hAnsi="Bookman Old Style"/>
        </w:rPr>
        <w:t xml:space="preserve"> informatyzacji akt księgi wieczystej – wprowadzając w tym zakresie rozwiązania sprawdzone już w ramach Krajowego Rejestru Sądowego i radykalnie obniżające koszty informatyzacji.</w:t>
      </w:r>
    </w:p>
    <w:p w14:paraId="4C1F3BBE" w14:textId="275118A8" w:rsidR="006C68FA"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Mając na uwadze powyższe i przyjmując</w:t>
      </w:r>
      <w:r w:rsidR="004875DB" w:rsidRPr="00C62B29">
        <w:rPr>
          <w:rFonts w:ascii="Bookman Old Style" w:hAnsi="Bookman Old Style"/>
        </w:rPr>
        <w:t>,</w:t>
      </w:r>
      <w:r w:rsidRPr="00C62B29">
        <w:rPr>
          <w:rFonts w:ascii="Bookman Old Style" w:hAnsi="Bookman Old Style"/>
        </w:rPr>
        <w:t xml:space="preserve"> że założeniem jest docelowo rozszerzenie kompetencji notariuszy na wszystkie wpisy dokonywane w oparciu o skutki czynności notarialnych, same względy racjonalizacji niemałych wydatków</w:t>
      </w:r>
      <w:r w:rsidR="004875DB" w:rsidRPr="00C62B29">
        <w:rPr>
          <w:rFonts w:ascii="Bookman Old Style" w:hAnsi="Bookman Old Style"/>
        </w:rPr>
        <w:t>,</w:t>
      </w:r>
      <w:r w:rsidRPr="00C62B29">
        <w:rPr>
          <w:rFonts w:ascii="Bookman Old Style" w:hAnsi="Bookman Old Style"/>
        </w:rPr>
        <w:t xml:space="preserve"> które musz</w:t>
      </w:r>
      <w:r w:rsidR="00396751" w:rsidRPr="00C62B29">
        <w:rPr>
          <w:rFonts w:ascii="Bookman Old Style" w:hAnsi="Bookman Old Style"/>
        </w:rPr>
        <w:t>ą</w:t>
      </w:r>
      <w:r w:rsidRPr="00C62B29">
        <w:rPr>
          <w:rFonts w:ascii="Bookman Old Style" w:hAnsi="Bookman Old Style"/>
        </w:rPr>
        <w:t xml:space="preserve"> być poniesione</w:t>
      </w:r>
      <w:r w:rsidR="004875DB" w:rsidRPr="00C62B29">
        <w:rPr>
          <w:rFonts w:ascii="Bookman Old Style" w:hAnsi="Bookman Old Style"/>
        </w:rPr>
        <w:t>,</w:t>
      </w:r>
      <w:r w:rsidRPr="00C62B29">
        <w:rPr>
          <w:rFonts w:ascii="Bookman Old Style" w:hAnsi="Bookman Old Style"/>
        </w:rPr>
        <w:t xml:space="preserve"> należy wprowadzić rozwiązania</w:t>
      </w:r>
      <w:r w:rsidR="004875DB" w:rsidRPr="00C62B29">
        <w:rPr>
          <w:rFonts w:ascii="Bookman Old Style" w:hAnsi="Bookman Old Style"/>
        </w:rPr>
        <w:t>,</w:t>
      </w:r>
      <w:r w:rsidRPr="00C62B29">
        <w:rPr>
          <w:rFonts w:ascii="Bookman Old Style" w:hAnsi="Bookman Old Style"/>
        </w:rPr>
        <w:t xml:space="preserve"> </w:t>
      </w:r>
      <w:r w:rsidR="00396751" w:rsidRPr="00C62B29">
        <w:rPr>
          <w:rFonts w:ascii="Bookman Old Style" w:hAnsi="Bookman Old Style"/>
        </w:rPr>
        <w:t>pozwalające</w:t>
      </w:r>
      <w:r w:rsidRPr="00C62B29">
        <w:rPr>
          <w:rFonts w:ascii="Bookman Old Style" w:hAnsi="Bookman Old Style"/>
        </w:rPr>
        <w:t xml:space="preserve"> na dalsze rozwijanie systemu. Zdecydowanie </w:t>
      </w:r>
      <w:r w:rsidRPr="00C62B29">
        <w:rPr>
          <w:rFonts w:ascii="Bookman Old Style" w:hAnsi="Bookman Old Style"/>
          <w:bCs/>
          <w:u w:val="single"/>
        </w:rPr>
        <w:t>należy opowiedzieć się przeciwko proponowanemu brzmieniu projektowanego a</w:t>
      </w:r>
      <w:r w:rsidRPr="00C62B29">
        <w:rPr>
          <w:rStyle w:val="Brak"/>
          <w:rFonts w:ascii="Bookman Old Style" w:hAnsi="Bookman Old Style"/>
          <w:bCs/>
          <w:u w:val="single"/>
        </w:rPr>
        <w:t>rt. 23b</w:t>
      </w:r>
      <w:r w:rsidR="0037787E" w:rsidRPr="00C62B29">
        <w:rPr>
          <w:rStyle w:val="Brak"/>
          <w:rFonts w:ascii="Bookman Old Style" w:hAnsi="Bookman Old Style"/>
          <w:bCs/>
          <w:u w:val="single"/>
        </w:rPr>
        <w:t xml:space="preserve"> </w:t>
      </w:r>
      <w:r w:rsidR="0037787E" w:rsidRPr="00C62B29">
        <w:rPr>
          <w:rStyle w:val="Brak"/>
          <w:rFonts w:ascii="Bookman Old Style" w:hAnsi="Bookman Old Style"/>
          <w:u w:val="single"/>
        </w:rPr>
        <w:t>u.k.w.h.</w:t>
      </w:r>
      <w:r w:rsidR="00B05A19" w:rsidRPr="00C62B29">
        <w:rPr>
          <w:rStyle w:val="Brak"/>
          <w:rFonts w:ascii="Bookman Old Style" w:hAnsi="Bookman Old Style"/>
          <w:u w:val="single"/>
        </w:rPr>
        <w:t>,</w:t>
      </w:r>
      <w:r w:rsidRPr="00C62B29">
        <w:rPr>
          <w:rStyle w:val="Brak"/>
          <w:rFonts w:ascii="Bookman Old Style" w:hAnsi="Bookman Old Style"/>
        </w:rPr>
        <w:t xml:space="preserve"> zgodnie z którym „Wniosek o dokonanie wpisu w księdze wieczystej rozpoznaje notariusz, prowadzący kancelarię notarialną w obszarze właściwości sądu rejonowego, w którym prowadzona jest księga wieczysta</w:t>
      </w:r>
      <w:r w:rsidRPr="00C62B29">
        <w:rPr>
          <w:rFonts w:ascii="Bookman Old Style" w:hAnsi="Bookman Old Style"/>
        </w:rPr>
        <w:t xml:space="preserve">.”. Od samego początku funkcjonowania informatycznego (potem teleinformatycznego) systemu prowadzenia ksiąg wieczystych założeniem jest prowadzenie ich jako jednolitego dla całego kraju rejestru nieruchomości. Wprowadzenie swoistej rejonizacji notariuszy stanowi zdecydowany krok wstecz – największe zalety systemu teleinformatycznego widoczne są we wszystkich tych </w:t>
      </w:r>
      <w:r w:rsidR="007E6334" w:rsidRPr="00C62B29">
        <w:rPr>
          <w:rFonts w:ascii="Bookman Old Style" w:hAnsi="Bookman Old Style"/>
        </w:rPr>
        <w:t>wypadkach,</w:t>
      </w:r>
      <w:r w:rsidRPr="00C62B29">
        <w:rPr>
          <w:rFonts w:ascii="Bookman Old Style" w:hAnsi="Bookman Old Style"/>
        </w:rPr>
        <w:t xml:space="preserve"> kiedy następuje „skrócenie” drogi do sądu</w:t>
      </w:r>
      <w:r w:rsidR="00B05A19" w:rsidRPr="00C62B29">
        <w:rPr>
          <w:rFonts w:ascii="Bookman Old Style" w:hAnsi="Bookman Old Style"/>
        </w:rPr>
        <w:t>. T</w:t>
      </w:r>
      <w:r w:rsidRPr="00C62B29">
        <w:rPr>
          <w:rFonts w:ascii="Bookman Old Style" w:hAnsi="Bookman Old Style"/>
        </w:rPr>
        <w:t>ymczasem proponowane rozwiązanie powoduje</w:t>
      </w:r>
      <w:r w:rsidR="00B05A19" w:rsidRPr="00C62B29">
        <w:rPr>
          <w:rFonts w:ascii="Bookman Old Style" w:hAnsi="Bookman Old Style"/>
        </w:rPr>
        <w:t>,</w:t>
      </w:r>
      <w:r w:rsidRPr="00C62B29">
        <w:rPr>
          <w:rFonts w:ascii="Bookman Old Style" w:hAnsi="Bookman Old Style"/>
        </w:rPr>
        <w:t xml:space="preserve"> że osoba zainteresowana wpisem dokonanym przez notariusza będzie zmuszona skorzystać nie z </w:t>
      </w:r>
      <w:r w:rsidR="005C0BCB">
        <w:rPr>
          <w:rFonts w:ascii="Bookman Old Style" w:hAnsi="Bookman Old Style"/>
        </w:rPr>
        <w:t xml:space="preserve">usług </w:t>
      </w:r>
      <w:r w:rsidRPr="00C62B29">
        <w:rPr>
          <w:rFonts w:ascii="Bookman Old Style" w:hAnsi="Bookman Old Style"/>
        </w:rPr>
        <w:t xml:space="preserve">najbliższego </w:t>
      </w:r>
      <w:r w:rsidR="00E94473" w:rsidRPr="00C62B29">
        <w:rPr>
          <w:rFonts w:ascii="Bookman Old Style" w:hAnsi="Bookman Old Style"/>
        </w:rPr>
        <w:t>notariusza,</w:t>
      </w:r>
      <w:r w:rsidRPr="00C62B29">
        <w:rPr>
          <w:rFonts w:ascii="Bookman Old Style" w:hAnsi="Bookman Old Style"/>
        </w:rPr>
        <w:t xml:space="preserve"> ale z </w:t>
      </w:r>
      <w:r w:rsidR="007E6334" w:rsidRPr="00C62B29">
        <w:rPr>
          <w:rFonts w:ascii="Bookman Old Style" w:hAnsi="Bookman Old Style"/>
        </w:rPr>
        <w:t>notariusza „</w:t>
      </w:r>
      <w:r w:rsidRPr="00C62B29">
        <w:rPr>
          <w:rStyle w:val="Brak"/>
          <w:rFonts w:ascii="Bookman Old Style" w:hAnsi="Bookman Old Style"/>
        </w:rPr>
        <w:t>w obszarze właściwości sądu rejonowego, w którym prowadzona jest księga wieczysta”. W zestawieniu z proponowanym brzmieniem art. 626</w:t>
      </w:r>
      <w:r w:rsidRPr="00C62B29">
        <w:rPr>
          <w:rStyle w:val="Brak"/>
          <w:rFonts w:ascii="Bookman Old Style" w:hAnsi="Bookman Old Style"/>
          <w:vertAlign w:val="superscript"/>
        </w:rPr>
        <w:t xml:space="preserve">8 </w:t>
      </w:r>
      <w:r w:rsidRPr="00C62B29">
        <w:rPr>
          <w:rStyle w:val="Brak"/>
          <w:rFonts w:ascii="Bookman Old Style" w:hAnsi="Bookman Old Style"/>
        </w:rPr>
        <w:t>§ 12 k.p.c.</w:t>
      </w:r>
      <w:r w:rsidR="00B05A19" w:rsidRPr="00C62B29">
        <w:rPr>
          <w:rStyle w:val="Brak"/>
          <w:rFonts w:ascii="Bookman Old Style" w:hAnsi="Bookman Old Style"/>
        </w:rPr>
        <w:t>,</w:t>
      </w:r>
      <w:r w:rsidRPr="00C62B29">
        <w:rPr>
          <w:rStyle w:val="Brak"/>
          <w:rFonts w:ascii="Bookman Old Style" w:hAnsi="Bookman Old Style"/>
        </w:rPr>
        <w:t xml:space="preserve"> ograniczającym możliwości dokonania wpisu do „notariusza sporządzającego akt notarialny dotyczący tego prawa” oznacza to także rejonizacj</w:t>
      </w:r>
      <w:r w:rsidR="00B05A19" w:rsidRPr="00C62B29">
        <w:rPr>
          <w:rStyle w:val="Brak"/>
          <w:rFonts w:ascii="Bookman Old Style" w:hAnsi="Bookman Old Style"/>
        </w:rPr>
        <w:t>ę</w:t>
      </w:r>
      <w:r w:rsidRPr="00C62B29">
        <w:rPr>
          <w:rStyle w:val="Brak"/>
          <w:rFonts w:ascii="Bookman Old Style" w:hAnsi="Bookman Old Style"/>
        </w:rPr>
        <w:t xml:space="preserve"> sporządzania aktów notarialnych dotyczących nieruchomości. Mając na uwadze złożoną sytuację właściwości miejscowej w dużych ośrodkach miejskich (kilka sądów, lub kilka wydziałów w jednym sądzie) tak wprowadzona rejonizacja będzie znaczącym utrudnieniem w obrocie nieruchomościami. W kontekście powyższego nawet szacowane oszczędności mogą się okazać znacznie mniejsze wszędzie </w:t>
      </w:r>
      <w:r w:rsidR="007E6334" w:rsidRPr="00C62B29">
        <w:rPr>
          <w:rStyle w:val="Brak"/>
          <w:rFonts w:ascii="Bookman Old Style" w:hAnsi="Bookman Old Style"/>
        </w:rPr>
        <w:t>tam,</w:t>
      </w:r>
      <w:r w:rsidRPr="00C62B29">
        <w:rPr>
          <w:rStyle w:val="Brak"/>
          <w:rFonts w:ascii="Bookman Old Style" w:hAnsi="Bookman Old Style"/>
        </w:rPr>
        <w:t xml:space="preserve"> gdzie sąd prowadzący księgę wieczystą obejmuje więcej niż </w:t>
      </w:r>
      <w:r w:rsidR="00B05A19" w:rsidRPr="00C62B29">
        <w:rPr>
          <w:rStyle w:val="Brak"/>
          <w:rFonts w:ascii="Bookman Old Style" w:hAnsi="Bookman Old Style"/>
        </w:rPr>
        <w:t xml:space="preserve">jeden </w:t>
      </w:r>
      <w:r w:rsidRPr="00C62B29">
        <w:rPr>
          <w:rStyle w:val="Brak"/>
          <w:rFonts w:ascii="Bookman Old Style" w:hAnsi="Bookman Old Style"/>
        </w:rPr>
        <w:t xml:space="preserve">wydział i zachodzi konieczność podłączenia notariusza do systemu kilku wydziałów ksiąg wieczystych. </w:t>
      </w:r>
      <w:r w:rsidR="006C68FA" w:rsidRPr="00C62B29">
        <w:rPr>
          <w:rFonts w:ascii="Bookman Old Style" w:hAnsi="Bookman Old Style"/>
        </w:rPr>
        <w:t>Alternatywą dla postulowanej rezygnacji z powiązania notariusza z sądem rejonowy</w:t>
      </w:r>
      <w:r w:rsidR="007D3CAE" w:rsidRPr="00C62B29">
        <w:rPr>
          <w:rFonts w:ascii="Bookman Old Style" w:hAnsi="Bookman Old Style"/>
        </w:rPr>
        <w:t>m,</w:t>
      </w:r>
      <w:r w:rsidR="006C68FA" w:rsidRPr="00C62B29">
        <w:rPr>
          <w:rFonts w:ascii="Bookman Old Style" w:hAnsi="Bookman Old Style"/>
        </w:rPr>
        <w:t xml:space="preserve"> we właściwości którego znajduje się siedziba kancelarii, jest powiązanie notariusza z właściwością odpowiednio</w:t>
      </w:r>
      <w:r w:rsidR="007D3CAE" w:rsidRPr="00C62B29">
        <w:rPr>
          <w:rFonts w:ascii="Bookman Old Style" w:hAnsi="Bookman Old Style"/>
        </w:rPr>
        <w:t>:</w:t>
      </w:r>
      <w:r w:rsidR="006C68FA" w:rsidRPr="00C62B29">
        <w:rPr>
          <w:rFonts w:ascii="Bookman Old Style" w:hAnsi="Bookman Old Style"/>
        </w:rPr>
        <w:t xml:space="preserve"> sądu okręgowego lub sądu apelacyjnego. Rozwiązanie ma t</w:t>
      </w:r>
      <w:r w:rsidR="007D3CAE" w:rsidRPr="00C62B29">
        <w:rPr>
          <w:rFonts w:ascii="Bookman Old Style" w:hAnsi="Bookman Old Style"/>
        </w:rPr>
        <w:t>ę</w:t>
      </w:r>
      <w:r w:rsidR="006C68FA" w:rsidRPr="00C62B29">
        <w:rPr>
          <w:rFonts w:ascii="Bookman Old Style" w:hAnsi="Bookman Old Style"/>
        </w:rPr>
        <w:t xml:space="preserve"> zaletę, że wpisuje się w system kodów wydziałów prowadzących księgi wieczyste</w:t>
      </w:r>
      <w:r w:rsidR="007D3CAE" w:rsidRPr="00C62B29">
        <w:rPr>
          <w:rFonts w:ascii="Bookman Old Style" w:hAnsi="Bookman Old Style"/>
        </w:rPr>
        <w:t>, określony</w:t>
      </w:r>
      <w:r w:rsidR="006C68FA" w:rsidRPr="00C62B29">
        <w:rPr>
          <w:rFonts w:ascii="Bookman Old Style" w:hAnsi="Bookman Old Style"/>
        </w:rPr>
        <w:t xml:space="preserve"> w </w:t>
      </w:r>
      <w:r w:rsidR="006C68FA" w:rsidRPr="00C62B29">
        <w:rPr>
          <w:rFonts w:ascii="Bookman Old Style" w:hAnsi="Bookman Old Style"/>
        </w:rPr>
        <w:lastRenderedPageBreak/>
        <w:t>załączniku nr 1</w:t>
      </w:r>
      <w:r w:rsidR="007D3CAE" w:rsidRPr="00C62B29">
        <w:rPr>
          <w:rFonts w:ascii="Bookman Old Style" w:hAnsi="Bookman Old Style"/>
        </w:rPr>
        <w:t xml:space="preserve"> </w:t>
      </w:r>
      <w:r w:rsidR="006C68FA" w:rsidRPr="00C62B29">
        <w:rPr>
          <w:rFonts w:ascii="Bookman Old Style" w:hAnsi="Bookman Old Style"/>
        </w:rPr>
        <w:t>Rozporządzenia Ministra Sprawiedliwości z dnia 15 lutego 2016 r. w sprawie zakładania i prowadzenia ksiąg wieczystych w systemie teleinformatycznym</w:t>
      </w:r>
      <w:r w:rsidR="007D3CAE" w:rsidRPr="00C62B29">
        <w:rPr>
          <w:rFonts w:ascii="Bookman Old Style" w:hAnsi="Bookman Old Style"/>
        </w:rPr>
        <w:t>,</w:t>
      </w:r>
      <w:r w:rsidR="006C68FA" w:rsidRPr="00C62B29">
        <w:rPr>
          <w:rFonts w:ascii="Bookman Old Style" w:hAnsi="Bookman Old Style"/>
        </w:rPr>
        <w:t xml:space="preserve"> jako obejmującym kody odpowiednio</w:t>
      </w:r>
      <w:r w:rsidR="007D3CAE" w:rsidRPr="00C62B29">
        <w:rPr>
          <w:rFonts w:ascii="Bookman Old Style" w:hAnsi="Bookman Old Style"/>
        </w:rPr>
        <w:t>:</w:t>
      </w:r>
      <w:r w:rsidR="006C68FA" w:rsidRPr="00C62B29">
        <w:rPr>
          <w:rFonts w:ascii="Bookman Old Style" w:hAnsi="Bookman Old Style"/>
        </w:rPr>
        <w:t xml:space="preserve"> sądów okręgowych i apelacyjnych i pozwala na proste przypisanie notariusza do właściwych sądów. Przyjęcie jako podstawy sądów okręgowych byłoby także nawiązaniem do tradycji polskiego notariatu II Rzeczypospolitej – to jest instytucji notariuszy przy wydziałach hipotecznych sądu okręgowego. To ostatnie nie wydaje się jednak odpowiadać współczesnym potrzebom społeczno-gospodarczy</w:t>
      </w:r>
      <w:r w:rsidR="005C0BCB">
        <w:rPr>
          <w:rFonts w:ascii="Bookman Old Style" w:hAnsi="Bookman Old Style"/>
        </w:rPr>
        <w:t>m</w:t>
      </w:r>
      <w:r w:rsidR="006C68FA" w:rsidRPr="00C62B29">
        <w:rPr>
          <w:rFonts w:ascii="Bookman Old Style" w:hAnsi="Bookman Old Style"/>
        </w:rPr>
        <w:t xml:space="preserve"> w dużych ośrodkach (nie szukając daleko Warszawa - gdzie funkcjonują dwa sąd</w:t>
      </w:r>
      <w:r w:rsidR="00396B21" w:rsidRPr="00C62B29">
        <w:rPr>
          <w:rFonts w:ascii="Bookman Old Style" w:hAnsi="Bookman Old Style"/>
        </w:rPr>
        <w:t>y</w:t>
      </w:r>
      <w:r w:rsidR="006C68FA" w:rsidRPr="00C62B29">
        <w:rPr>
          <w:rFonts w:ascii="Bookman Old Style" w:hAnsi="Bookman Old Style"/>
        </w:rPr>
        <w:t xml:space="preserve"> okręgowe)</w:t>
      </w:r>
      <w:r w:rsidR="00396B21" w:rsidRPr="00C62B29">
        <w:rPr>
          <w:rFonts w:ascii="Bookman Old Style" w:hAnsi="Bookman Old Style"/>
        </w:rPr>
        <w:t>,</w:t>
      </w:r>
      <w:r w:rsidR="006C68FA" w:rsidRPr="00C62B29">
        <w:rPr>
          <w:rFonts w:ascii="Bookman Old Style" w:hAnsi="Bookman Old Style"/>
        </w:rPr>
        <w:t xml:space="preserve"> wobec czego minimalnym racjonalnym określeniem „właściwości” notariusza jest obszar właściwości Sądu Apelacyjnego. Tak określony krąg dopuszczalności wpisu zminimalizuje problemy</w:t>
      </w:r>
      <w:r w:rsidR="00396B21" w:rsidRPr="00C62B29">
        <w:rPr>
          <w:rFonts w:ascii="Bookman Old Style" w:hAnsi="Bookman Old Style"/>
        </w:rPr>
        <w:t>,</w:t>
      </w:r>
      <w:r w:rsidR="006C68FA" w:rsidRPr="00C62B29">
        <w:rPr>
          <w:rFonts w:ascii="Bookman Old Style" w:hAnsi="Bookman Old Style"/>
        </w:rPr>
        <w:t xml:space="preserve"> o których mowa</w:t>
      </w:r>
      <w:r w:rsidR="00396B21" w:rsidRPr="00C62B29">
        <w:rPr>
          <w:rFonts w:ascii="Bookman Old Style" w:hAnsi="Bookman Old Style"/>
        </w:rPr>
        <w:t xml:space="preserve"> w </w:t>
      </w:r>
      <w:r w:rsidR="006C68FA" w:rsidRPr="00C62B29">
        <w:rPr>
          <w:rFonts w:ascii="Bookman Old Style" w:hAnsi="Bookman Old Style"/>
        </w:rPr>
        <w:t>§ 230 Rozporządzenia Ministra Sprawiedliwości z dnia 18 czerwca 2019 r. Regulamin</w:t>
      </w:r>
      <w:r w:rsidR="00396B21" w:rsidRPr="00C62B29">
        <w:rPr>
          <w:rFonts w:ascii="Bookman Old Style" w:hAnsi="Bookman Old Style"/>
        </w:rPr>
        <w:t>u</w:t>
      </w:r>
      <w:r w:rsidR="006C68FA" w:rsidRPr="00C62B29">
        <w:rPr>
          <w:rFonts w:ascii="Bookman Old Style" w:hAnsi="Bookman Old Style"/>
        </w:rPr>
        <w:t xml:space="preserve"> urzędowania sądów powszechnych, skutkujące koniecznością przekazywania ksiąg wieczystych do właściwości innych wydziałów i związane z tym problemy organizacyjne jakich przykładem jest chociażby ostatnio kwestia dużych opóźnień wpisów na skutek zmiany właściwości wydziałów w S</w:t>
      </w:r>
      <w:r w:rsidR="00396B21" w:rsidRPr="00C62B29">
        <w:rPr>
          <w:rFonts w:ascii="Bookman Old Style" w:hAnsi="Bookman Old Style"/>
        </w:rPr>
        <w:t>ą</w:t>
      </w:r>
      <w:r w:rsidR="006C68FA" w:rsidRPr="00C62B29">
        <w:rPr>
          <w:rFonts w:ascii="Bookman Old Style" w:hAnsi="Bookman Old Style"/>
        </w:rPr>
        <w:t>dzie Okręgowym w Szczecinie.</w:t>
      </w:r>
    </w:p>
    <w:p w14:paraId="6543BD11" w14:textId="2E8D581D"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Zwrócić należy uwagę</w:t>
      </w:r>
      <w:r w:rsidR="00B05A19" w:rsidRPr="00C62B29">
        <w:rPr>
          <w:rStyle w:val="Brak"/>
          <w:rFonts w:ascii="Bookman Old Style" w:hAnsi="Bookman Old Style"/>
        </w:rPr>
        <w:t>,</w:t>
      </w:r>
      <w:r w:rsidRPr="00C62B29">
        <w:rPr>
          <w:rStyle w:val="Brak"/>
          <w:rFonts w:ascii="Bookman Old Style" w:hAnsi="Bookman Old Style"/>
        </w:rPr>
        <w:t xml:space="preserve"> że w kontekście ograniczenia z </w:t>
      </w:r>
      <w:r w:rsidRPr="00C62B29">
        <w:rPr>
          <w:rFonts w:ascii="Bookman Old Style" w:hAnsi="Bookman Old Style"/>
        </w:rPr>
        <w:t>a</w:t>
      </w:r>
      <w:r w:rsidRPr="00C62B29">
        <w:rPr>
          <w:rStyle w:val="Brak"/>
          <w:rFonts w:ascii="Bookman Old Style" w:hAnsi="Bookman Old Style"/>
        </w:rPr>
        <w:t>rt. 23b</w:t>
      </w:r>
      <w:r w:rsidR="0037787E" w:rsidRPr="00C62B29">
        <w:rPr>
          <w:rStyle w:val="Brak"/>
          <w:rFonts w:ascii="Bookman Old Style" w:hAnsi="Bookman Old Style"/>
        </w:rPr>
        <w:t xml:space="preserve"> u.k.w.h.</w:t>
      </w:r>
      <w:r w:rsidRPr="00C62B29">
        <w:rPr>
          <w:rStyle w:val="Brak"/>
          <w:rFonts w:ascii="Bookman Old Style" w:hAnsi="Bookman Old Style"/>
        </w:rPr>
        <w:t xml:space="preserve"> znaczenia nabiera przyjęte w </w:t>
      </w:r>
      <w:r w:rsidR="002D7DA2">
        <w:rPr>
          <w:rStyle w:val="Brak"/>
          <w:rFonts w:ascii="Bookman Old Style" w:hAnsi="Bookman Old Style"/>
        </w:rPr>
        <w:t>P</w:t>
      </w:r>
      <w:r w:rsidRPr="00C62B29">
        <w:rPr>
          <w:rStyle w:val="Brak"/>
          <w:rFonts w:ascii="Bookman Old Style" w:hAnsi="Bookman Old Style"/>
        </w:rPr>
        <w:t>rojekcie art. 626</w:t>
      </w:r>
      <w:r w:rsidRPr="00C62B29">
        <w:rPr>
          <w:rStyle w:val="Brak"/>
          <w:rFonts w:ascii="Bookman Old Style" w:hAnsi="Bookman Old Style"/>
          <w:vertAlign w:val="superscript"/>
        </w:rPr>
        <w:t>8</w:t>
      </w:r>
      <w:r w:rsidRPr="00C62B29">
        <w:rPr>
          <w:rStyle w:val="Brak"/>
          <w:rFonts w:ascii="Bookman Old Style" w:hAnsi="Bookman Old Style"/>
        </w:rPr>
        <w:t xml:space="preserve"> § 12 k.p.c. ograniczenie dokonania wpisu do „notariusza sporządzającego akt notarialny dotyczący tego prawa”. Gdyby z niego zrezygnować wnioskodawca miałby przynajmniej możliwość udania się do innego notariusza w obszarze właściwości sądu rejonowego, w którym prowadzona jest księga wieczysta. Wobec proponowanej rezygnacji z wprowadzenia </w:t>
      </w:r>
      <w:r w:rsidRPr="00C62B29">
        <w:rPr>
          <w:rFonts w:ascii="Bookman Old Style" w:hAnsi="Bookman Old Style"/>
        </w:rPr>
        <w:t>a</w:t>
      </w:r>
      <w:r w:rsidRPr="00C62B29">
        <w:rPr>
          <w:rStyle w:val="Brak"/>
          <w:rFonts w:ascii="Bookman Old Style" w:hAnsi="Bookman Old Style"/>
        </w:rPr>
        <w:t>rt. 23b</w:t>
      </w:r>
      <w:r w:rsidR="0037787E" w:rsidRPr="00C62B29">
        <w:rPr>
          <w:rStyle w:val="Brak"/>
          <w:rFonts w:ascii="Bookman Old Style" w:hAnsi="Bookman Old Style"/>
        </w:rPr>
        <w:t xml:space="preserve"> u.k.w.h.</w:t>
      </w:r>
      <w:r w:rsidRPr="00C62B29">
        <w:rPr>
          <w:rStyle w:val="Brak"/>
          <w:rFonts w:ascii="Bookman Old Style" w:hAnsi="Bookman Old Style"/>
        </w:rPr>
        <w:t>, odwołując się do podnoszonych czasem wątpliwości czy wniosek wieczystoksięgowego może złożyć inny notariusz niż sporządzając</w:t>
      </w:r>
      <w:r w:rsidR="004224F9" w:rsidRPr="00C62B29">
        <w:rPr>
          <w:rStyle w:val="Brak"/>
          <w:rFonts w:ascii="Bookman Old Style" w:hAnsi="Bookman Old Style"/>
        </w:rPr>
        <w:t>y</w:t>
      </w:r>
      <w:r w:rsidRPr="00C62B29">
        <w:rPr>
          <w:rStyle w:val="Brak"/>
          <w:rFonts w:ascii="Bookman Old Style" w:hAnsi="Bookman Old Style"/>
        </w:rPr>
        <w:t xml:space="preserve"> akt</w:t>
      </w:r>
      <w:r w:rsidR="00E66BE2" w:rsidRPr="00C62B29">
        <w:rPr>
          <w:rStyle w:val="Brak"/>
          <w:rFonts w:ascii="Bookman Old Style" w:hAnsi="Bookman Old Style"/>
        </w:rPr>
        <w:t>,</w:t>
      </w:r>
      <w:r w:rsidRPr="00C62B29">
        <w:rPr>
          <w:rStyle w:val="Brak"/>
          <w:rFonts w:ascii="Bookman Old Style" w:hAnsi="Bookman Old Style"/>
        </w:rPr>
        <w:t xml:space="preserve"> trafniejszym wydaje się </w:t>
      </w:r>
      <w:r w:rsidR="00B31164" w:rsidRPr="00C62B29">
        <w:rPr>
          <w:rStyle w:val="Brak"/>
          <w:rFonts w:ascii="Bookman Old Style" w:hAnsi="Bookman Old Style"/>
        </w:rPr>
        <w:t xml:space="preserve">odwołanie </w:t>
      </w:r>
      <w:r w:rsidRPr="00C62B29">
        <w:rPr>
          <w:rStyle w:val="Brak"/>
          <w:rFonts w:ascii="Bookman Old Style" w:hAnsi="Bookman Old Style"/>
        </w:rPr>
        <w:t>w art. 626</w:t>
      </w:r>
      <w:r w:rsidRPr="00C62B29">
        <w:rPr>
          <w:rStyle w:val="Brak"/>
          <w:rFonts w:ascii="Bookman Old Style" w:hAnsi="Bookman Old Style"/>
          <w:vertAlign w:val="superscript"/>
        </w:rPr>
        <w:t>8</w:t>
      </w:r>
      <w:r w:rsidRPr="00C62B29">
        <w:rPr>
          <w:rStyle w:val="Brak"/>
          <w:rFonts w:ascii="Bookman Old Style" w:hAnsi="Bookman Old Style"/>
        </w:rPr>
        <w:t xml:space="preserve"> § 12 k.p.c. do pojęcia „</w:t>
      </w:r>
      <w:r w:rsidRPr="00C62B29">
        <w:rPr>
          <w:rStyle w:val="Brak"/>
          <w:rFonts w:ascii="Bookman Old Style" w:hAnsi="Bookman Old Style"/>
          <w:bCs/>
        </w:rPr>
        <w:t>notariusz prowadzący kancelarię notarialną</w:t>
      </w:r>
      <w:r w:rsidR="004224F9" w:rsidRPr="00C62B29">
        <w:rPr>
          <w:rStyle w:val="Brak"/>
          <w:rFonts w:ascii="Bookman Old Style" w:hAnsi="Bookman Old Style"/>
          <w:bCs/>
        </w:rPr>
        <w:t>,</w:t>
      </w:r>
      <w:r w:rsidRPr="00C62B29">
        <w:rPr>
          <w:rStyle w:val="Brak"/>
          <w:rFonts w:ascii="Bookman Old Style" w:hAnsi="Bookman Old Style"/>
          <w:bCs/>
        </w:rPr>
        <w:t xml:space="preserve"> w której dokonano czynności będącej podstawą wpisu”</w:t>
      </w:r>
      <w:r w:rsidRPr="00C62B29">
        <w:rPr>
          <w:rStyle w:val="Brak"/>
          <w:rFonts w:ascii="Bookman Old Style" w:hAnsi="Bookman Old Style"/>
        </w:rPr>
        <w:t xml:space="preserve">. Należy w szczególności </w:t>
      </w:r>
      <w:r w:rsidR="007E6334" w:rsidRPr="00C62B29">
        <w:rPr>
          <w:rStyle w:val="Brak"/>
          <w:rFonts w:ascii="Bookman Old Style" w:hAnsi="Bookman Old Style"/>
        </w:rPr>
        <w:t>zauważyć,</w:t>
      </w:r>
      <w:r w:rsidRPr="00C62B29">
        <w:rPr>
          <w:rStyle w:val="Brak"/>
          <w:rFonts w:ascii="Bookman Old Style" w:hAnsi="Bookman Old Style"/>
        </w:rPr>
        <w:t xml:space="preserve"> że nie można wykluczyć wyspecjalizowania </w:t>
      </w:r>
      <w:r w:rsidR="004224F9" w:rsidRPr="00C62B29">
        <w:rPr>
          <w:rStyle w:val="Brak"/>
          <w:rFonts w:ascii="Bookman Old Style" w:hAnsi="Bookman Old Style"/>
        </w:rPr>
        <w:t xml:space="preserve">się </w:t>
      </w:r>
      <w:r w:rsidRPr="00C62B29">
        <w:rPr>
          <w:rStyle w:val="Brak"/>
          <w:rFonts w:ascii="Bookman Old Style" w:hAnsi="Bookman Old Style"/>
        </w:rPr>
        <w:t>w danej kancelarii notariuszy</w:t>
      </w:r>
      <w:r w:rsidR="000661CA" w:rsidRPr="00C62B29">
        <w:rPr>
          <w:rStyle w:val="Brak"/>
          <w:rFonts w:ascii="Bookman Old Style" w:hAnsi="Bookman Old Style"/>
        </w:rPr>
        <w:t xml:space="preserve"> </w:t>
      </w:r>
      <w:r w:rsidR="007E6334" w:rsidRPr="00C62B29">
        <w:rPr>
          <w:rStyle w:val="Brak"/>
          <w:rFonts w:ascii="Bookman Old Style" w:hAnsi="Bookman Old Style"/>
        </w:rPr>
        <w:t>sporządzających akty</w:t>
      </w:r>
      <w:r w:rsidRPr="00C62B29">
        <w:rPr>
          <w:rStyle w:val="Brak"/>
          <w:rFonts w:ascii="Bookman Old Style" w:hAnsi="Bookman Old Style"/>
        </w:rPr>
        <w:t xml:space="preserve"> i notariuszy dokonujących wpisów (analogicznie jak było to w przypadku Państwowych Biur Notarialnych). Wprowadzenie jakiejkolwiek „właściwości miejscowej” notariusza pozostaje wobec powyższego w oczywistej sprzeczności z samą konstrukcją </w:t>
      </w:r>
      <w:r w:rsidRPr="00C62B29">
        <w:rPr>
          <w:rStyle w:val="Brak"/>
          <w:rFonts w:ascii="Bookman Old Style" w:hAnsi="Bookman Old Style"/>
        </w:rPr>
        <w:lastRenderedPageBreak/>
        <w:t xml:space="preserve">teleinformatycznej księgi wieczystej, nie wspominając </w:t>
      </w:r>
      <w:r w:rsidR="007E6334" w:rsidRPr="00C62B29">
        <w:rPr>
          <w:rStyle w:val="Brak"/>
          <w:rFonts w:ascii="Bookman Old Style" w:hAnsi="Bookman Old Style"/>
        </w:rPr>
        <w:t>już,</w:t>
      </w:r>
      <w:r w:rsidRPr="00C62B29">
        <w:rPr>
          <w:rStyle w:val="Brak"/>
          <w:rFonts w:ascii="Bookman Old Style" w:hAnsi="Bookman Old Style"/>
        </w:rPr>
        <w:t xml:space="preserve"> że będzie realnym utrudnieniem w obrocie nieruchomościami, lub prowadzić </w:t>
      </w:r>
      <w:r w:rsidR="004224F9" w:rsidRPr="00C62B29">
        <w:rPr>
          <w:rStyle w:val="Brak"/>
          <w:rFonts w:ascii="Bookman Old Style" w:hAnsi="Bookman Old Style"/>
        </w:rPr>
        <w:t xml:space="preserve">będzie </w:t>
      </w:r>
      <w:r w:rsidRPr="00C62B29">
        <w:rPr>
          <w:rStyle w:val="Brak"/>
          <w:rFonts w:ascii="Bookman Old Style" w:hAnsi="Bookman Old Style"/>
        </w:rPr>
        <w:t xml:space="preserve">do swoistego rywalizowania o </w:t>
      </w:r>
      <w:r w:rsidR="007E6334" w:rsidRPr="00C62B29">
        <w:rPr>
          <w:rStyle w:val="Brak"/>
          <w:rFonts w:ascii="Bookman Old Style" w:hAnsi="Bookman Old Style"/>
        </w:rPr>
        <w:t>klienta możliwością</w:t>
      </w:r>
      <w:r w:rsidRPr="00C62B29">
        <w:rPr>
          <w:rStyle w:val="Brak"/>
          <w:rFonts w:ascii="Bookman Old Style" w:hAnsi="Bookman Old Style"/>
        </w:rPr>
        <w:t xml:space="preserve"> dokonania wpisu. Jedynie sygnalizacyjnie</w:t>
      </w:r>
      <w:r w:rsidR="004224F9" w:rsidRPr="00C62B29">
        <w:rPr>
          <w:rStyle w:val="Brak"/>
          <w:rFonts w:ascii="Bookman Old Style" w:hAnsi="Bookman Old Style"/>
        </w:rPr>
        <w:t>,</w:t>
      </w:r>
      <w:r w:rsidRPr="00C62B29">
        <w:rPr>
          <w:rStyle w:val="Brak"/>
          <w:rFonts w:ascii="Bookman Old Style" w:hAnsi="Bookman Old Style"/>
        </w:rPr>
        <w:t xml:space="preserve"> gdyż nie jest to kwestią wieczystoksięgowa, należy zaznaczyć</w:t>
      </w:r>
      <w:r w:rsidR="007E2915" w:rsidRPr="00C62B29">
        <w:rPr>
          <w:rStyle w:val="Brak"/>
          <w:rFonts w:ascii="Bookman Old Style" w:hAnsi="Bookman Old Style"/>
        </w:rPr>
        <w:t>,</w:t>
      </w:r>
      <w:r w:rsidRPr="00C62B29">
        <w:rPr>
          <w:rStyle w:val="Brak"/>
          <w:rFonts w:ascii="Bookman Old Style" w:hAnsi="Bookman Old Style"/>
        </w:rPr>
        <w:t xml:space="preserve"> że wprowadzenie wymogu określonego czasu prowadzenia kancelarii jako wymogu dopuszczenia do dokon</w:t>
      </w:r>
      <w:r w:rsidR="007E2915" w:rsidRPr="00C62B29">
        <w:rPr>
          <w:rStyle w:val="Brak"/>
          <w:rFonts w:ascii="Bookman Old Style" w:hAnsi="Bookman Old Style"/>
        </w:rPr>
        <w:t>yw</w:t>
      </w:r>
      <w:r w:rsidRPr="00C62B29">
        <w:rPr>
          <w:rStyle w:val="Brak"/>
          <w:rFonts w:ascii="Bookman Old Style" w:hAnsi="Bookman Old Style"/>
        </w:rPr>
        <w:t>ania wpisu skutkować będzie swoistą barierą dla notariuszy wchodzących do zawodu często zupełnie nieuzasadnioną (przykładem może być taki wymóg w stosunku do osoby mającej wcześniej doświadczenie zawodowe referendarza lub sędziego prowadzącego księgi wieczyste).</w:t>
      </w:r>
    </w:p>
    <w:p w14:paraId="72B9153B" w14:textId="77777777"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Niczym nieuzasadnione jest wprowadzenie wymogu 3 letniego prowadzenia kancelarii w projektowanym „Art. 79a § 1.</w:t>
      </w:r>
      <w:r w:rsidR="004224F9" w:rsidRPr="00C62B29">
        <w:rPr>
          <w:rFonts w:ascii="Bookman Old Style" w:hAnsi="Bookman Old Style"/>
        </w:rPr>
        <w:t>,</w:t>
      </w:r>
      <w:r w:rsidRPr="00C62B29">
        <w:rPr>
          <w:rFonts w:ascii="Bookman Old Style" w:hAnsi="Bookman Old Style"/>
        </w:rPr>
        <w:t xml:space="preserve"> zgodnie z którym Notariusz prowadzący kancelarię przez 3 lata, jeżeli nie wydano przeciwko niemu prawomocnego orzeczenia o nałożeniu kary dyscyplinarnej, może złożyć do Ministra Sprawiedliwości wniosek o wydanie zaświadczenia o upoważnieniu do dokonywania wpisów w księdze wieczystej i wydawania notarialnych nakazów zapłaty.</w:t>
      </w:r>
      <w:r w:rsidR="004224F9" w:rsidRPr="00C62B29">
        <w:rPr>
          <w:rFonts w:ascii="Bookman Old Style" w:hAnsi="Bookman Old Style"/>
        </w:rPr>
        <w:t>”.</w:t>
      </w:r>
    </w:p>
    <w:p w14:paraId="41707364" w14:textId="7F05DA52"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Mając na uwadze zaproponowane usytuowanie notariusza w postępowaniu wieczystoksięgowym, można porównać jego przygotowanie do przygotowania zawodowego referendarza. Zgodnie z rozporządzeniem Ministra Sprawiedliwości z dnia 21 lipca 2006 r. w sprawie aplikacji referendarskiej i egzaminu referendarskiego, aplikacja referendarska obejmuje (</w:t>
      </w:r>
      <w:hyperlink r:id="rId11" w:history="1">
        <w:r w:rsidRPr="00C62B29">
          <w:rPr>
            <w:rFonts w:ascii="Bookman Old Style" w:hAnsi="Bookman Old Style"/>
          </w:rPr>
          <w:t xml:space="preserve">§  13) </w:t>
        </w:r>
      </w:hyperlink>
      <w:r w:rsidRPr="00C62B29">
        <w:rPr>
          <w:rFonts w:ascii="Bookman Old Style" w:hAnsi="Bookman Old Style"/>
        </w:rPr>
        <w:t>praktykę zawodową obejmującą 5 miesięcy - w wydziale ksiąg wieczystych, oraz (</w:t>
      </w:r>
      <w:hyperlink r:id="rId12" w:history="1">
        <w:r w:rsidRPr="00C62B29">
          <w:rPr>
            <w:rFonts w:ascii="Bookman Old Style" w:hAnsi="Bookman Old Style"/>
          </w:rPr>
          <w:t>§  16</w:t>
        </w:r>
      </w:hyperlink>
      <w:r w:rsidRPr="00C62B29">
        <w:rPr>
          <w:rFonts w:ascii="Bookman Old Style" w:hAnsi="Bookman Old Style"/>
        </w:rPr>
        <w:t xml:space="preserve">) w ramach programu szkoleń seminaryjnych i szkoleń centralnych zagadnienia wchodzące w zakres obowiązków referendarza, w szczególności przepisy materialne i ustrojowe z zakresu ksiąg wieczystych, postępowanie wieczystoksięgowe oraz wybrane zagadnienia z zakresu innych przepisów dotyczących obrotu nieruchomościami. Poprzednio obowiązujące rozporządzenie Ministra Sprawiedliwości z dnia 18 czerwca 1998 r. w sprawie referendarzy sądowych i aplikacji referendarskiej, </w:t>
      </w:r>
      <w:r w:rsidR="005238B3" w:rsidRPr="00C62B29">
        <w:rPr>
          <w:rFonts w:ascii="Bookman Old Style" w:hAnsi="Bookman Old Style"/>
        </w:rPr>
        <w:t>stanowiło</w:t>
      </w:r>
      <w:r w:rsidRPr="00C62B29">
        <w:rPr>
          <w:rFonts w:ascii="Bookman Old Style" w:hAnsi="Bookman Old Style"/>
        </w:rPr>
        <w:t xml:space="preserve"> nawet (</w:t>
      </w:r>
      <w:hyperlink r:id="rId13" w:history="1">
        <w:r w:rsidR="007E6334" w:rsidRPr="00C62B29">
          <w:rPr>
            <w:rFonts w:ascii="Bookman Old Style" w:hAnsi="Bookman Old Style"/>
          </w:rPr>
          <w:t>§ 9.</w:t>
        </w:r>
      </w:hyperlink>
      <w:r w:rsidRPr="00C62B29">
        <w:rPr>
          <w:rFonts w:ascii="Bookman Old Style" w:hAnsi="Bookman Old Style"/>
        </w:rPr>
        <w:t>) o skierowaniu do wydziału ksiąg wieczystych (na pierwsze trzy miesiące aplikacji) uznając to za okres wystarczający do nabycia wiedzy potrzebnej do prowadzenia ksiąg wieczystych. Dla porównania aplikacja notarialna (</w:t>
      </w:r>
      <w:r w:rsidR="005238B3" w:rsidRPr="00C62B29">
        <w:rPr>
          <w:rFonts w:ascii="Bookman Old Style" w:hAnsi="Bookman Old Style"/>
        </w:rPr>
        <w:t>a</w:t>
      </w:r>
      <w:r w:rsidRPr="00C62B29">
        <w:rPr>
          <w:rFonts w:ascii="Bookman Old Style" w:hAnsi="Bookman Old Style"/>
        </w:rPr>
        <w:t>rt. 7</w:t>
      </w:r>
      <w:r w:rsidR="005238B3" w:rsidRPr="00C62B29">
        <w:rPr>
          <w:rFonts w:ascii="Bookman Old Style" w:hAnsi="Bookman Old Style"/>
        </w:rPr>
        <w:t xml:space="preserve"> pr.not.</w:t>
      </w:r>
      <w:r w:rsidRPr="00C62B29">
        <w:rPr>
          <w:rFonts w:ascii="Bookman Old Style" w:hAnsi="Bookman Old Style"/>
        </w:rPr>
        <w:t xml:space="preserve">) trwa 3 lata i 6 miesięcy i polega na zaznajomieniu aplikanta </w:t>
      </w:r>
      <w:r w:rsidRPr="00C62B29">
        <w:rPr>
          <w:rFonts w:ascii="Bookman Old Style" w:hAnsi="Bookman Old Style"/>
        </w:rPr>
        <w:lastRenderedPageBreak/>
        <w:t xml:space="preserve">notarialnego z całokształtem pracy notariusza, w tym w ramach szkolenia aplikant notarialny jest obowiązany do zaznajomienia się z czynnościami sądów w sprawach wieczystoksięgowych. Obecnie szkolenie takie obejmuje </w:t>
      </w:r>
      <w:r w:rsidR="00E66BE2" w:rsidRPr="00C62B29">
        <w:rPr>
          <w:rFonts w:ascii="Bookman Old Style" w:hAnsi="Bookman Old Style"/>
        </w:rPr>
        <w:t xml:space="preserve">około </w:t>
      </w:r>
      <w:r w:rsidR="00C6594A" w:rsidRPr="00C62B29">
        <w:rPr>
          <w:rFonts w:ascii="Bookman Old Style" w:hAnsi="Bookman Old Style"/>
        </w:rPr>
        <w:t>100</w:t>
      </w:r>
      <w:r w:rsidRPr="00C62B29">
        <w:rPr>
          <w:rFonts w:ascii="Bookman Old Style" w:hAnsi="Bookman Old Style"/>
        </w:rPr>
        <w:t xml:space="preserve"> godzin zajęć</w:t>
      </w:r>
      <w:r w:rsidR="00E66BE2" w:rsidRPr="00C62B29">
        <w:rPr>
          <w:rFonts w:ascii="Bookman Old Style" w:hAnsi="Bookman Old Style"/>
        </w:rPr>
        <w:t xml:space="preserve"> seminaryjnych</w:t>
      </w:r>
      <w:r w:rsidRPr="00C62B29">
        <w:rPr>
          <w:rFonts w:ascii="Bookman Old Style" w:hAnsi="Bookman Old Style"/>
        </w:rPr>
        <w:t xml:space="preserve"> i 3 miesiące praktyki. Porównanie dobitnie pokazuje, że osoba</w:t>
      </w:r>
      <w:r w:rsidR="00E66BE2" w:rsidRPr="00C62B29">
        <w:rPr>
          <w:rFonts w:ascii="Bookman Old Style" w:hAnsi="Bookman Old Style"/>
        </w:rPr>
        <w:t>,</w:t>
      </w:r>
      <w:r w:rsidRPr="00C62B29">
        <w:rPr>
          <w:rFonts w:ascii="Bookman Old Style" w:hAnsi="Bookman Old Style"/>
        </w:rPr>
        <w:t xml:space="preserve"> która ukończyła aplikację notarialn</w:t>
      </w:r>
      <w:r w:rsidR="00E66BE2" w:rsidRPr="00C62B29">
        <w:rPr>
          <w:rFonts w:ascii="Bookman Old Style" w:hAnsi="Bookman Old Style"/>
        </w:rPr>
        <w:t>ą</w:t>
      </w:r>
      <w:r w:rsidRPr="00C62B29">
        <w:rPr>
          <w:rFonts w:ascii="Bookman Old Style" w:hAnsi="Bookman Old Style"/>
        </w:rPr>
        <w:t xml:space="preserve"> dysponuje wiedzą na poziomie nie niższym niż referendarz sądowy i nie ma </w:t>
      </w:r>
      <w:r w:rsidR="007E6334" w:rsidRPr="00C62B29">
        <w:rPr>
          <w:rFonts w:ascii="Bookman Old Style" w:hAnsi="Bookman Old Style"/>
        </w:rPr>
        <w:t>powodów,</w:t>
      </w:r>
      <w:r w:rsidRPr="00C62B29">
        <w:rPr>
          <w:rFonts w:ascii="Bookman Old Style" w:hAnsi="Bookman Old Style"/>
        </w:rPr>
        <w:t xml:space="preserve"> żeby kwestionować jej dostateczn</w:t>
      </w:r>
      <w:r w:rsidR="00B8175C" w:rsidRPr="00C62B29">
        <w:rPr>
          <w:rFonts w:ascii="Bookman Old Style" w:hAnsi="Bookman Old Style"/>
        </w:rPr>
        <w:t>e kwalifikacje</w:t>
      </w:r>
      <w:r w:rsidRPr="00C62B29">
        <w:rPr>
          <w:rFonts w:ascii="Bookman Old Style" w:hAnsi="Bookman Old Style"/>
        </w:rPr>
        <w:t xml:space="preserve"> do dokonywania wpisów w księgach wieczystych.</w:t>
      </w:r>
      <w:r w:rsidR="00B8175C" w:rsidRPr="00C62B29">
        <w:rPr>
          <w:rFonts w:ascii="Bookman Old Style" w:hAnsi="Bookman Old Style"/>
        </w:rPr>
        <w:t xml:space="preserve"> Chyba, że ten trzyletni okres ma związek z coraz prostszymi </w:t>
      </w:r>
      <w:r w:rsidR="00FC1B7E" w:rsidRPr="00C62B29">
        <w:rPr>
          <w:rFonts w:ascii="Bookman Old Style" w:hAnsi="Bookman Old Style"/>
        </w:rPr>
        <w:t xml:space="preserve">zawodowymi </w:t>
      </w:r>
      <w:r w:rsidR="00B8175C" w:rsidRPr="00C62B29">
        <w:rPr>
          <w:rFonts w:ascii="Bookman Old Style" w:hAnsi="Bookman Old Style"/>
        </w:rPr>
        <w:t>egzaminami</w:t>
      </w:r>
      <w:r w:rsidRPr="00C62B29">
        <w:rPr>
          <w:rFonts w:ascii="Bookman Old Style" w:hAnsi="Bookman Old Style"/>
        </w:rPr>
        <w:t xml:space="preserve"> </w:t>
      </w:r>
      <w:r w:rsidR="00FC1B7E" w:rsidRPr="00C62B29">
        <w:rPr>
          <w:rFonts w:ascii="Bookman Old Style" w:hAnsi="Bookman Old Style"/>
        </w:rPr>
        <w:t>notarialnymi</w:t>
      </w:r>
      <w:r w:rsidR="007E6334" w:rsidRPr="00C62B29">
        <w:rPr>
          <w:rFonts w:ascii="Bookman Old Style" w:hAnsi="Bookman Old Style"/>
          <w:color w:val="FF0000"/>
        </w:rPr>
        <w:t>.</w:t>
      </w:r>
    </w:p>
    <w:p w14:paraId="1207A004" w14:textId="688242AA"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W tym kontekście należy podkreślić (patrz chociażby Wyrok Naczelnego Sądu Administracyjnego z dnia 2 października 2014 r. II GSK 1072/13)</w:t>
      </w:r>
      <w:r w:rsidR="00E66BE2" w:rsidRPr="00C62B29">
        <w:rPr>
          <w:rFonts w:ascii="Bookman Old Style" w:hAnsi="Bookman Old Style"/>
        </w:rPr>
        <w:t>,</w:t>
      </w:r>
      <w:r w:rsidRPr="00C62B29">
        <w:rPr>
          <w:rFonts w:ascii="Bookman Old Style" w:hAnsi="Bookman Old Style"/>
        </w:rPr>
        <w:t xml:space="preserve"> że szkolenie aplikanta nie jest iluzoryczne, co jest oczywiste w odniesieniu do zawodu zaufania publicznego, który winny wykonywać osoby o wysokim poziomie wiedzy prawniczej. Każdorazowo aplikacyjny sprawdzian wiedzy przyszłego notariusza pozwala na </w:t>
      </w:r>
      <w:r w:rsidR="007E6334" w:rsidRPr="00C62B29">
        <w:rPr>
          <w:rFonts w:ascii="Bookman Old Style" w:hAnsi="Bookman Old Style"/>
        </w:rPr>
        <w:t>ustalenie</w:t>
      </w:r>
      <w:r w:rsidRPr="00C62B29">
        <w:rPr>
          <w:rFonts w:ascii="Bookman Old Style" w:hAnsi="Bookman Old Style"/>
        </w:rPr>
        <w:t xml:space="preserve"> czy aplikant opanował niezbędny zasób wiedzy związany z całokształtem pracy notariusza, czy opanował niezbędną w praktyce notariusza wiedzę dotyczącą prawa cywilnego, gospodarczego i </w:t>
      </w:r>
      <w:r w:rsidRPr="00C62B29">
        <w:rPr>
          <w:rFonts w:ascii="Bookman Old Style" w:hAnsi="Bookman Old Style"/>
          <w:bCs/>
          <w:u w:val="single"/>
        </w:rPr>
        <w:t>wieczystoksięgowego</w:t>
      </w:r>
      <w:r w:rsidRPr="00C62B29">
        <w:rPr>
          <w:rFonts w:ascii="Bookman Old Style" w:hAnsi="Bookman Old Style"/>
        </w:rPr>
        <w:t xml:space="preserve">. Ponieważ elementem aplikacji jest także praktyka w kancelarii notarialnej obejmująca obecnie także składanie wniosków wieczystoksięgowych w systemie teleinformatycznym nie można kwestionować należytego przygotowania do dokonywania wpisów w ramach aplikacji. </w:t>
      </w:r>
    </w:p>
    <w:p w14:paraId="49928761" w14:textId="6116E07D"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Dodatkowo</w:t>
      </w:r>
      <w:r w:rsidR="009227F7" w:rsidRPr="00C62B29">
        <w:rPr>
          <w:rFonts w:ascii="Bookman Old Style" w:hAnsi="Bookman Old Style"/>
        </w:rPr>
        <w:t>,</w:t>
      </w:r>
      <w:r w:rsidRPr="00C62B29">
        <w:rPr>
          <w:rFonts w:ascii="Bookman Old Style" w:hAnsi="Bookman Old Style"/>
        </w:rPr>
        <w:t xml:space="preserve"> ponieważ projektowane brzmienie nie uwzględnia zastępców notarialnych</w:t>
      </w:r>
      <w:r w:rsidR="009227F7" w:rsidRPr="00C62B29">
        <w:rPr>
          <w:rFonts w:ascii="Bookman Old Style" w:hAnsi="Bookman Old Style"/>
        </w:rPr>
        <w:t>,</w:t>
      </w:r>
      <w:r w:rsidRPr="00C62B29">
        <w:rPr>
          <w:rFonts w:ascii="Bookman Old Style" w:hAnsi="Bookman Old Style"/>
        </w:rPr>
        <w:t xml:space="preserve"> ograniczenie dotykałoby nawet osoby mając wieloletnie doświadczenie w pracy notariusza, gdyż nie można ich uznać za „prowadzących kancelarię notarialną”, nie wspominając już nawet o sytuacji przejścia do zawodu notariusza osoby</w:t>
      </w:r>
      <w:r w:rsidR="009227F7" w:rsidRPr="00C62B29">
        <w:rPr>
          <w:rFonts w:ascii="Bookman Old Style" w:hAnsi="Bookman Old Style"/>
        </w:rPr>
        <w:t>,</w:t>
      </w:r>
      <w:r w:rsidRPr="00C62B29">
        <w:rPr>
          <w:rFonts w:ascii="Bookman Old Style" w:hAnsi="Bookman Old Style"/>
        </w:rPr>
        <w:t xml:space="preserve"> która wcześniej orzekała jako sędzia czy referendarz w wydziale ksiąg wieczystych. </w:t>
      </w:r>
      <w:r w:rsidR="000B593F" w:rsidRPr="00C62B29">
        <w:rPr>
          <w:rFonts w:ascii="Bookman Old Style" w:hAnsi="Bookman Old Style"/>
        </w:rPr>
        <w:t>P</w:t>
      </w:r>
      <w:r w:rsidRPr="00C62B29">
        <w:rPr>
          <w:rFonts w:ascii="Bookman Old Style" w:hAnsi="Bookman Old Style"/>
        </w:rPr>
        <w:t>roponowany przepis wprowadza więc realną barierę w prowadzeniu działalności gospodarczej</w:t>
      </w:r>
      <w:r w:rsidR="009227F7" w:rsidRPr="00C62B29">
        <w:rPr>
          <w:rFonts w:ascii="Bookman Old Style" w:hAnsi="Bookman Old Style"/>
        </w:rPr>
        <w:t>,</w:t>
      </w:r>
      <w:r w:rsidRPr="00C62B29">
        <w:rPr>
          <w:rFonts w:ascii="Bookman Old Style" w:hAnsi="Bookman Old Style"/>
        </w:rPr>
        <w:t xml:space="preserve"> stwarzając nieuzasadnione uprzywilejowanie dotychczasowych notariuszy.</w:t>
      </w:r>
    </w:p>
    <w:p w14:paraId="15606A7C" w14:textId="77777777" w:rsidR="00C3713C" w:rsidRPr="00C62B29" w:rsidRDefault="00C3713C" w:rsidP="001049D3">
      <w:pPr>
        <w:suppressAutoHyphens/>
        <w:spacing w:line="360" w:lineRule="auto"/>
        <w:ind w:firstLine="567"/>
        <w:jc w:val="both"/>
        <w:rPr>
          <w:rFonts w:ascii="Bookman Old Style" w:hAnsi="Bookman Old Style"/>
        </w:rPr>
      </w:pPr>
      <w:r w:rsidRPr="00C62B29">
        <w:rPr>
          <w:rFonts w:ascii="Bookman Old Style" w:hAnsi="Bookman Old Style"/>
        </w:rPr>
        <w:t>W imię możliwej specjalizacji postulować należy także możliwość wydawania upoważnień</w:t>
      </w:r>
      <w:r w:rsidR="009227F7" w:rsidRPr="00C62B29">
        <w:rPr>
          <w:rFonts w:ascii="Bookman Old Style" w:hAnsi="Bookman Old Style"/>
        </w:rPr>
        <w:t>,</w:t>
      </w:r>
      <w:r w:rsidRPr="00C62B29">
        <w:rPr>
          <w:rFonts w:ascii="Bookman Old Style" w:hAnsi="Bookman Old Style"/>
        </w:rPr>
        <w:t xml:space="preserve"> o których mowa w art. 79a odrębnie co dokonywania wpisów w księdze wieczystej i wydawania notarialnych nakazów zapłaty.</w:t>
      </w:r>
    </w:p>
    <w:p w14:paraId="2EE1CD25" w14:textId="77777777" w:rsidR="00C3713C" w:rsidRPr="00C62B29" w:rsidRDefault="00C3713C" w:rsidP="001049D3">
      <w:pPr>
        <w:suppressAutoHyphens/>
        <w:spacing w:line="360" w:lineRule="auto"/>
        <w:ind w:firstLine="567"/>
        <w:rPr>
          <w:rFonts w:ascii="Bookman Old Style" w:hAnsi="Bookman Old Style"/>
        </w:rPr>
      </w:pPr>
      <w:r w:rsidRPr="00C62B29">
        <w:rPr>
          <w:rFonts w:ascii="Bookman Old Style" w:hAnsi="Bookman Old Style"/>
        </w:rPr>
        <w:t>Wobec powyższego proponuje się wprowadzenie przepisu w brzmieniu</w:t>
      </w:r>
    </w:p>
    <w:p w14:paraId="2787E3D4" w14:textId="77777777" w:rsidR="00C3713C" w:rsidRPr="00C62B29" w:rsidRDefault="00C3713C"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lastRenderedPageBreak/>
        <w:t>„Art. 79a § 1. Notariusz lub</w:t>
      </w:r>
      <w:r w:rsidR="009227F7" w:rsidRPr="00C62B29">
        <w:rPr>
          <w:rFonts w:ascii="Bookman Old Style" w:hAnsi="Bookman Old Style"/>
          <w:b/>
          <w:bCs/>
        </w:rPr>
        <w:t xml:space="preserve"> jego zastępca</w:t>
      </w:r>
      <w:r w:rsidRPr="00C62B29">
        <w:rPr>
          <w:rFonts w:ascii="Bookman Old Style" w:hAnsi="Bookman Old Style"/>
          <w:b/>
          <w:bCs/>
        </w:rPr>
        <w:t xml:space="preserve">, jeżeli nie wydano przeciwko niemu prawomocnego orzeczenia o nałożeniu kary dyscyplinarnej, może złożyć do Ministra Sprawiedliwości wniosek o wydanie zaświadczenia o upoważnieniu do dokonywania wpisów w księdze wieczystej lub wydawania notarialnych nakazów zapłaty albo łącznie </w:t>
      </w:r>
      <w:r w:rsidR="007147FC" w:rsidRPr="00C62B29">
        <w:rPr>
          <w:rFonts w:ascii="Bookman Old Style" w:hAnsi="Bookman Old Style"/>
          <w:b/>
          <w:bCs/>
        </w:rPr>
        <w:t>o dokonywanie obu tych czynności</w:t>
      </w:r>
      <w:r w:rsidRPr="00C62B29">
        <w:rPr>
          <w:rFonts w:ascii="Bookman Old Style" w:hAnsi="Bookman Old Style"/>
          <w:b/>
          <w:bCs/>
        </w:rPr>
        <w:t>.”</w:t>
      </w:r>
    </w:p>
    <w:p w14:paraId="3DAFD8E6" w14:textId="77777777" w:rsidR="002B7000" w:rsidRPr="00C62B29" w:rsidRDefault="00461B4F" w:rsidP="001049D3">
      <w:pPr>
        <w:suppressAutoHyphens/>
        <w:spacing w:line="360" w:lineRule="auto"/>
        <w:ind w:firstLine="567"/>
        <w:jc w:val="both"/>
        <w:rPr>
          <w:rFonts w:ascii="Bookman Old Style" w:eastAsia="Times New Roman" w:hAnsi="Bookman Old Style"/>
          <w:lang w:eastAsia="zh-CN"/>
        </w:rPr>
      </w:pPr>
      <w:r w:rsidRPr="00C62B29">
        <w:rPr>
          <w:rFonts w:ascii="Bookman Old Style" w:hAnsi="Bookman Old Style"/>
        </w:rPr>
        <w:t>Do rozważania pozostaje czy kwestia opłat sądowych</w:t>
      </w:r>
      <w:r w:rsidR="00D634F7" w:rsidRPr="00C62B29">
        <w:rPr>
          <w:rFonts w:ascii="Bookman Old Style" w:hAnsi="Bookman Old Style"/>
        </w:rPr>
        <w:t xml:space="preserve"> </w:t>
      </w:r>
      <w:r w:rsidRPr="00C62B29">
        <w:rPr>
          <w:rFonts w:ascii="Bookman Old Style" w:hAnsi="Bookman Old Style"/>
        </w:rPr>
        <w:t xml:space="preserve">należnych notariuszowi za dokonane wpisy nie powinna zostać uregulowana w ustawie z dnia 28 lipca 2005 r. o kosztach sądowych w sprawach cywilnych </w:t>
      </w:r>
      <w:bookmarkStart w:id="1" w:name="_Hlk42020070"/>
      <w:r w:rsidRPr="00C62B29">
        <w:rPr>
          <w:rFonts w:ascii="Bookman Old Style" w:eastAsia="Times New Roman" w:hAnsi="Bookman Old Style"/>
          <w:lang w:eastAsia="zh-CN"/>
        </w:rPr>
        <w:t xml:space="preserve">(tj. </w:t>
      </w:r>
      <w:r w:rsidRPr="00C62B29">
        <w:rPr>
          <w:rFonts w:ascii="Bookman Old Style" w:hAnsi="Bookman Old Style"/>
        </w:rPr>
        <w:t>Dz.U. z 2021 r., poz. 2257</w:t>
      </w:r>
      <w:r w:rsidRPr="00C62B29">
        <w:rPr>
          <w:rFonts w:ascii="Bookman Old Style" w:eastAsia="Times New Roman" w:hAnsi="Bookman Old Style"/>
          <w:lang w:eastAsia="zh-CN"/>
        </w:rPr>
        <w:t xml:space="preserve"> z późn. zm.)</w:t>
      </w:r>
      <w:bookmarkEnd w:id="1"/>
      <w:r w:rsidRPr="00C62B29">
        <w:rPr>
          <w:rFonts w:ascii="Bookman Old Style" w:eastAsia="Times New Roman" w:hAnsi="Bookman Old Style"/>
          <w:lang w:eastAsia="zh-CN"/>
        </w:rPr>
        <w:t>. Nie przesądzają</w:t>
      </w:r>
      <w:r w:rsidR="007147FC" w:rsidRPr="00C62B29">
        <w:rPr>
          <w:rFonts w:ascii="Bookman Old Style" w:eastAsia="Times New Roman" w:hAnsi="Bookman Old Style"/>
          <w:lang w:eastAsia="zh-CN"/>
        </w:rPr>
        <w:t>c</w:t>
      </w:r>
      <w:r w:rsidRPr="00C62B29">
        <w:rPr>
          <w:rFonts w:ascii="Bookman Old Style" w:eastAsia="Times New Roman" w:hAnsi="Bookman Old Style"/>
          <w:lang w:eastAsia="zh-CN"/>
        </w:rPr>
        <w:t xml:space="preserve"> te</w:t>
      </w:r>
      <w:r w:rsidR="007147FC" w:rsidRPr="00C62B29">
        <w:rPr>
          <w:rFonts w:ascii="Bookman Old Style" w:eastAsia="Times New Roman" w:hAnsi="Bookman Old Style"/>
          <w:lang w:eastAsia="zh-CN"/>
        </w:rPr>
        <w:t>go</w:t>
      </w:r>
      <w:r w:rsidR="00D4571A" w:rsidRPr="00C62B29">
        <w:rPr>
          <w:rFonts w:ascii="Bookman Old Style" w:eastAsia="Times New Roman" w:hAnsi="Bookman Old Style"/>
          <w:lang w:eastAsia="zh-CN"/>
        </w:rPr>
        <w:t>,</w:t>
      </w:r>
      <w:r w:rsidRPr="00C62B29">
        <w:rPr>
          <w:rFonts w:ascii="Bookman Old Style" w:eastAsia="Times New Roman" w:hAnsi="Bookman Old Style"/>
          <w:lang w:eastAsia="zh-CN"/>
        </w:rPr>
        <w:t xml:space="preserve"> dostosowania wymaga art. 7 </w:t>
      </w:r>
      <w:r w:rsidR="0037787E" w:rsidRPr="00C62B29">
        <w:rPr>
          <w:rFonts w:ascii="Bookman Old Style" w:eastAsia="Times New Roman" w:hAnsi="Bookman Old Style"/>
          <w:lang w:eastAsia="zh-CN"/>
        </w:rPr>
        <w:t>pr. not.</w:t>
      </w:r>
      <w:r w:rsidRPr="00C62B29">
        <w:rPr>
          <w:rFonts w:ascii="Bookman Old Style" w:eastAsia="Times New Roman" w:hAnsi="Bookman Old Style"/>
          <w:lang w:eastAsia="zh-CN"/>
        </w:rPr>
        <w:t xml:space="preserve"> – stąd </w:t>
      </w:r>
      <w:r w:rsidR="00390DB6" w:rsidRPr="00C62B29">
        <w:rPr>
          <w:rFonts w:ascii="Bookman Old Style" w:eastAsia="Times New Roman" w:hAnsi="Bookman Old Style"/>
          <w:lang w:eastAsia="zh-CN"/>
        </w:rPr>
        <w:t>propozycja nowej redakcji</w:t>
      </w:r>
      <w:r w:rsidRPr="00C62B29">
        <w:rPr>
          <w:rFonts w:ascii="Bookman Old Style" w:eastAsia="Times New Roman" w:hAnsi="Bookman Old Style"/>
          <w:lang w:eastAsia="zh-CN"/>
        </w:rPr>
        <w:t xml:space="preserve"> </w:t>
      </w:r>
      <w:r w:rsidR="00390DB6" w:rsidRPr="00C62B29">
        <w:rPr>
          <w:rFonts w:ascii="Bookman Old Style" w:eastAsia="Times New Roman" w:hAnsi="Bookman Old Style"/>
          <w:lang w:eastAsia="zh-CN"/>
        </w:rPr>
        <w:t xml:space="preserve">tego </w:t>
      </w:r>
      <w:r w:rsidRPr="00C62B29">
        <w:rPr>
          <w:rFonts w:ascii="Bookman Old Style" w:eastAsia="Times New Roman" w:hAnsi="Bookman Old Style"/>
          <w:lang w:eastAsia="zh-CN"/>
        </w:rPr>
        <w:t>przepisu. Proponowane przepis</w:t>
      </w:r>
      <w:r w:rsidR="00D4571A" w:rsidRPr="00C62B29">
        <w:rPr>
          <w:rFonts w:ascii="Bookman Old Style" w:eastAsia="Times New Roman" w:hAnsi="Bookman Old Style"/>
          <w:lang w:eastAsia="zh-CN"/>
        </w:rPr>
        <w:t>y</w:t>
      </w:r>
      <w:r w:rsidRPr="00C62B29">
        <w:rPr>
          <w:rFonts w:ascii="Bookman Old Style" w:eastAsia="Times New Roman" w:hAnsi="Bookman Old Style"/>
          <w:lang w:eastAsia="zh-CN"/>
        </w:rPr>
        <w:t xml:space="preserve"> ma</w:t>
      </w:r>
      <w:r w:rsidR="00D4571A" w:rsidRPr="00C62B29">
        <w:rPr>
          <w:rFonts w:ascii="Bookman Old Style" w:eastAsia="Times New Roman" w:hAnsi="Bookman Old Style"/>
          <w:lang w:eastAsia="zh-CN"/>
        </w:rPr>
        <w:t>ją</w:t>
      </w:r>
      <w:r w:rsidRPr="00C62B29">
        <w:rPr>
          <w:rFonts w:ascii="Bookman Old Style" w:eastAsia="Times New Roman" w:hAnsi="Bookman Old Style"/>
          <w:lang w:eastAsia="zh-CN"/>
        </w:rPr>
        <w:t xml:space="preserve"> raczej wskaz</w:t>
      </w:r>
      <w:r w:rsidR="00D4571A" w:rsidRPr="00C62B29">
        <w:rPr>
          <w:rFonts w:ascii="Bookman Old Style" w:eastAsia="Times New Roman" w:hAnsi="Bookman Old Style"/>
          <w:lang w:eastAsia="zh-CN"/>
        </w:rPr>
        <w:t>yw</w:t>
      </w:r>
      <w:r w:rsidRPr="00C62B29">
        <w:rPr>
          <w:rFonts w:ascii="Bookman Old Style" w:eastAsia="Times New Roman" w:hAnsi="Bookman Old Style"/>
          <w:lang w:eastAsia="zh-CN"/>
        </w:rPr>
        <w:t>ać kierunki zmian niż stanowić „projekt przepisu”</w:t>
      </w:r>
      <w:r w:rsidR="0065562A" w:rsidRPr="00C62B29">
        <w:rPr>
          <w:rFonts w:ascii="Bookman Old Style" w:eastAsia="Times New Roman" w:hAnsi="Bookman Old Style"/>
          <w:lang w:eastAsia="zh-CN"/>
        </w:rPr>
        <w:t>.</w:t>
      </w:r>
      <w:r w:rsidR="00760F9F" w:rsidRPr="00C62B29">
        <w:rPr>
          <w:rFonts w:ascii="Bookman Old Style" w:eastAsia="Times New Roman" w:hAnsi="Bookman Old Style"/>
          <w:lang w:eastAsia="zh-CN"/>
        </w:rPr>
        <w:t xml:space="preserve"> </w:t>
      </w:r>
      <w:r w:rsidR="004546BE" w:rsidRPr="00C62B29">
        <w:rPr>
          <w:rFonts w:ascii="Bookman Old Style" w:eastAsia="Times New Roman" w:hAnsi="Bookman Old Style"/>
          <w:lang w:eastAsia="zh-CN"/>
        </w:rPr>
        <w:t>P</w:t>
      </w:r>
      <w:r w:rsidR="006D50BC" w:rsidRPr="00C62B29">
        <w:rPr>
          <w:rFonts w:ascii="Bookman Old Style" w:eastAsia="Times New Roman" w:hAnsi="Bookman Old Style"/>
          <w:lang w:eastAsia="zh-CN"/>
        </w:rPr>
        <w:t>o</w:t>
      </w:r>
      <w:r w:rsidR="004546BE" w:rsidRPr="00C62B29">
        <w:rPr>
          <w:rFonts w:ascii="Bookman Old Style" w:eastAsia="Times New Roman" w:hAnsi="Bookman Old Style"/>
          <w:lang w:eastAsia="zh-CN"/>
        </w:rPr>
        <w:t>dkreś</w:t>
      </w:r>
      <w:r w:rsidR="006D50BC" w:rsidRPr="00C62B29">
        <w:rPr>
          <w:rFonts w:ascii="Bookman Old Style" w:eastAsia="Times New Roman" w:hAnsi="Bookman Old Style"/>
          <w:lang w:eastAsia="zh-CN"/>
        </w:rPr>
        <w:t>l</w:t>
      </w:r>
      <w:r w:rsidR="004546BE" w:rsidRPr="00C62B29">
        <w:rPr>
          <w:rFonts w:ascii="Bookman Old Style" w:eastAsia="Times New Roman" w:hAnsi="Bookman Old Style"/>
          <w:lang w:eastAsia="zh-CN"/>
        </w:rPr>
        <w:t>ić należy, że kwestia wynagrodzen</w:t>
      </w:r>
      <w:r w:rsidR="006D50BC" w:rsidRPr="00C62B29">
        <w:rPr>
          <w:rFonts w:ascii="Bookman Old Style" w:eastAsia="Times New Roman" w:hAnsi="Bookman Old Style"/>
          <w:lang w:eastAsia="zh-CN"/>
        </w:rPr>
        <w:t>i</w:t>
      </w:r>
      <w:r w:rsidR="004546BE" w:rsidRPr="00C62B29">
        <w:rPr>
          <w:rFonts w:ascii="Bookman Old Style" w:eastAsia="Times New Roman" w:hAnsi="Bookman Old Style"/>
          <w:lang w:eastAsia="zh-CN"/>
        </w:rPr>
        <w:t xml:space="preserve">a notariusza za </w:t>
      </w:r>
      <w:r w:rsidR="006D50BC" w:rsidRPr="00C62B29">
        <w:rPr>
          <w:rFonts w:ascii="Bookman Old Style" w:eastAsia="Times New Roman" w:hAnsi="Bookman Old Style"/>
          <w:lang w:eastAsia="zh-CN"/>
        </w:rPr>
        <w:t>dokonywane</w:t>
      </w:r>
      <w:r w:rsidR="004546BE" w:rsidRPr="00C62B29">
        <w:rPr>
          <w:rFonts w:ascii="Bookman Old Style" w:eastAsia="Times New Roman" w:hAnsi="Bookman Old Style"/>
          <w:lang w:eastAsia="zh-CN"/>
        </w:rPr>
        <w:t xml:space="preserve"> wpisy</w:t>
      </w:r>
      <w:r w:rsidR="006D50BC" w:rsidRPr="00C62B29">
        <w:rPr>
          <w:rFonts w:ascii="Bookman Old Style" w:eastAsia="Times New Roman" w:hAnsi="Bookman Old Style"/>
          <w:lang w:eastAsia="zh-CN"/>
        </w:rPr>
        <w:t xml:space="preserve"> wymaga pogłębionej analizy ekonomicznej, zwłaszcza wobec faktu, że </w:t>
      </w:r>
      <w:r w:rsidR="009A44DC" w:rsidRPr="00C62B29">
        <w:rPr>
          <w:rFonts w:ascii="Bookman Old Style" w:eastAsia="Times New Roman" w:hAnsi="Bookman Old Style"/>
          <w:lang w:eastAsia="zh-CN"/>
        </w:rPr>
        <w:t>sądowe postępowanie wieczystoksięgowe jest deficytowe, a pobierane opłaty sądowe tylko w ułamkowej części pokrywają koszty funkcjonowan</w:t>
      </w:r>
      <w:r w:rsidR="002B7000" w:rsidRPr="00C62B29">
        <w:rPr>
          <w:rFonts w:ascii="Bookman Old Style" w:eastAsia="Times New Roman" w:hAnsi="Bookman Old Style"/>
          <w:lang w:eastAsia="zh-CN"/>
        </w:rPr>
        <w:t>i</w:t>
      </w:r>
      <w:r w:rsidR="009A44DC" w:rsidRPr="00C62B29">
        <w:rPr>
          <w:rFonts w:ascii="Bookman Old Style" w:eastAsia="Times New Roman" w:hAnsi="Bookman Old Style"/>
          <w:lang w:eastAsia="zh-CN"/>
        </w:rPr>
        <w:t xml:space="preserve">a tego postępowania. </w:t>
      </w:r>
    </w:p>
    <w:p w14:paraId="233BF843" w14:textId="15A2583D" w:rsidR="00461B4F" w:rsidRPr="00C62B29" w:rsidRDefault="002B7000" w:rsidP="001049D3">
      <w:pPr>
        <w:suppressAutoHyphens/>
        <w:spacing w:line="360" w:lineRule="auto"/>
        <w:ind w:firstLine="567"/>
        <w:jc w:val="both"/>
        <w:rPr>
          <w:rFonts w:ascii="Bookman Old Style" w:eastAsia="Times New Roman" w:hAnsi="Bookman Old Style"/>
          <w:lang w:eastAsia="zh-CN"/>
        </w:rPr>
      </w:pPr>
      <w:r w:rsidRPr="00C62B29">
        <w:rPr>
          <w:rFonts w:ascii="Bookman Old Style" w:eastAsia="Times New Roman" w:hAnsi="Bookman Old Style"/>
          <w:lang w:eastAsia="zh-CN"/>
        </w:rPr>
        <w:t xml:space="preserve">Dlatego też </w:t>
      </w:r>
      <w:r w:rsidR="00B6267E" w:rsidRPr="00C62B29">
        <w:rPr>
          <w:rFonts w:ascii="Bookman Old Style" w:eastAsia="Times New Roman" w:hAnsi="Bookman Old Style"/>
          <w:lang w:eastAsia="zh-CN"/>
        </w:rPr>
        <w:t xml:space="preserve">przygotowanie </w:t>
      </w:r>
      <w:r w:rsidR="00E027F6" w:rsidRPr="00C62B29">
        <w:rPr>
          <w:rFonts w:ascii="Bookman Old Style" w:eastAsia="Times New Roman" w:hAnsi="Bookman Old Style"/>
          <w:lang w:eastAsia="zh-CN"/>
        </w:rPr>
        <w:t>przepis</w:t>
      </w:r>
      <w:r w:rsidR="00B6267E" w:rsidRPr="00C62B29">
        <w:rPr>
          <w:rFonts w:ascii="Bookman Old Style" w:eastAsia="Times New Roman" w:hAnsi="Bookman Old Style"/>
          <w:lang w:eastAsia="zh-CN"/>
        </w:rPr>
        <w:t>ów</w:t>
      </w:r>
      <w:r w:rsidR="00E027F6" w:rsidRPr="00C62B29">
        <w:rPr>
          <w:rFonts w:ascii="Bookman Old Style" w:eastAsia="Times New Roman" w:hAnsi="Bookman Old Style"/>
          <w:lang w:eastAsia="zh-CN"/>
        </w:rPr>
        <w:t xml:space="preserve"> normując</w:t>
      </w:r>
      <w:r w:rsidR="00B6267E" w:rsidRPr="00C62B29">
        <w:rPr>
          <w:rFonts w:ascii="Bookman Old Style" w:eastAsia="Times New Roman" w:hAnsi="Bookman Old Style"/>
          <w:lang w:eastAsia="zh-CN"/>
        </w:rPr>
        <w:t>ych</w:t>
      </w:r>
      <w:r w:rsidR="00E027F6" w:rsidRPr="00C62B29">
        <w:rPr>
          <w:rFonts w:ascii="Bookman Old Style" w:eastAsia="Times New Roman" w:hAnsi="Bookman Old Style"/>
          <w:lang w:eastAsia="zh-CN"/>
        </w:rPr>
        <w:t xml:space="preserve"> „notarialne postępowanie wieczystoksięgowe” </w:t>
      </w:r>
      <w:r w:rsidR="00461B4F" w:rsidRPr="00C62B29">
        <w:rPr>
          <w:rFonts w:ascii="Bookman Old Style" w:eastAsia="Times New Roman" w:hAnsi="Bookman Old Style"/>
          <w:lang w:eastAsia="zh-CN"/>
        </w:rPr>
        <w:t>niewątpliwie wymaga przemyślanej i wyspecjalizowanej redakcji legislacyjnej</w:t>
      </w:r>
      <w:r w:rsidR="00A80540" w:rsidRPr="00C62B29">
        <w:rPr>
          <w:rFonts w:ascii="Bookman Old Style" w:eastAsia="Times New Roman" w:hAnsi="Bookman Old Style"/>
          <w:lang w:eastAsia="zh-CN"/>
        </w:rPr>
        <w:t xml:space="preserve"> i merytorycznej </w:t>
      </w:r>
      <w:r w:rsidR="002C4235" w:rsidRPr="00C62B29">
        <w:rPr>
          <w:rFonts w:ascii="Bookman Old Style" w:eastAsia="Times New Roman" w:hAnsi="Bookman Old Style"/>
          <w:lang w:eastAsia="zh-CN"/>
        </w:rPr>
        <w:t>uwzględniającej chociażby względy ekonomiczne dokonywania wpisów (np. cztery zawiadomienia listem poleconym za zwrotnym potwierdzeniem odbioru</w:t>
      </w:r>
      <w:r w:rsidR="00B230D3" w:rsidRPr="00C62B29">
        <w:rPr>
          <w:rFonts w:ascii="Bookman Old Style" w:eastAsia="Times New Roman" w:hAnsi="Bookman Old Style"/>
          <w:lang w:eastAsia="zh-CN"/>
        </w:rPr>
        <w:t xml:space="preserve"> to 4x15,00zł =60,00zł)</w:t>
      </w:r>
      <w:r w:rsidR="00461B4F" w:rsidRPr="00C62B29">
        <w:rPr>
          <w:rFonts w:ascii="Bookman Old Style" w:eastAsia="Times New Roman" w:hAnsi="Bookman Old Style"/>
          <w:lang w:eastAsia="zh-CN"/>
        </w:rPr>
        <w:t>.</w:t>
      </w:r>
    </w:p>
    <w:p w14:paraId="5F5C3A9D" w14:textId="77777777" w:rsidR="00E91C76"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Na koniec zastrzec należy</w:t>
      </w:r>
      <w:r w:rsidR="00A673DB" w:rsidRPr="00C62B29">
        <w:rPr>
          <w:rFonts w:ascii="Bookman Old Style" w:hAnsi="Bookman Old Style"/>
        </w:rPr>
        <w:t>,</w:t>
      </w:r>
      <w:r w:rsidRPr="00C62B29">
        <w:rPr>
          <w:rFonts w:ascii="Bookman Old Style" w:hAnsi="Bookman Old Style"/>
        </w:rPr>
        <w:t xml:space="preserve"> że pełna ocena </w:t>
      </w:r>
      <w:r w:rsidR="005238B3" w:rsidRPr="00C62B29">
        <w:rPr>
          <w:rFonts w:ascii="Bookman Old Style" w:hAnsi="Bookman Old Style"/>
        </w:rPr>
        <w:t>P</w:t>
      </w:r>
      <w:r w:rsidRPr="00C62B29">
        <w:rPr>
          <w:rFonts w:ascii="Bookman Old Style" w:hAnsi="Bookman Old Style"/>
        </w:rPr>
        <w:t xml:space="preserve">rojektu możliwa byłaby dopiero łącznie z podstawowymi założeniami funkcjonowania systemów teleinformatycznych, więc pozytywna ocena opiera się niejako na założeniu że systemy te zostaną ukształtowane w taki sposób aby notariusz mógł ujawnić czynność niezwłocznie po jej dokonaniu, to jest bez barier w postaci innego niż automatycznie dokonywane w systemie przetwarzania złożonego wniosku (bez innej niż automatyczna dekretacji lub rejestracji w systemach biurowych sądu). Wreszcie uregulowania ustawowego wymaga dopuszczenie notariusza </w:t>
      </w:r>
      <w:r w:rsidR="00A673DB" w:rsidRPr="00C62B29">
        <w:rPr>
          <w:rFonts w:ascii="Bookman Old Style" w:hAnsi="Bookman Old Style"/>
        </w:rPr>
        <w:t xml:space="preserve">do </w:t>
      </w:r>
      <w:r w:rsidRPr="00C62B29">
        <w:rPr>
          <w:rFonts w:ascii="Bookman Old Style" w:hAnsi="Bookman Old Style"/>
        </w:rPr>
        <w:t xml:space="preserve">badania </w:t>
      </w:r>
      <w:r w:rsidR="00A673DB" w:rsidRPr="00C62B29">
        <w:rPr>
          <w:rFonts w:ascii="Bookman Old Style" w:hAnsi="Bookman Old Style"/>
        </w:rPr>
        <w:t xml:space="preserve">danych </w:t>
      </w:r>
      <w:r w:rsidRPr="00C62B29">
        <w:rPr>
          <w:rFonts w:ascii="Bookman Old Style" w:hAnsi="Bookman Old Style"/>
        </w:rPr>
        <w:t>w systemach ZSIN,</w:t>
      </w:r>
      <w:r w:rsidR="00E11494" w:rsidRPr="00C62B29">
        <w:rPr>
          <w:rFonts w:ascii="Bookman Old Style" w:hAnsi="Bookman Old Style"/>
        </w:rPr>
        <w:t xml:space="preserve"> </w:t>
      </w:r>
      <w:r w:rsidRPr="00C62B29">
        <w:rPr>
          <w:rFonts w:ascii="Bookman Old Style" w:hAnsi="Bookman Old Style"/>
        </w:rPr>
        <w:t xml:space="preserve">PESEL i REGON niezbędnych dla stwierdzenia braku przeszkód do dokonania wpisu. </w:t>
      </w:r>
    </w:p>
    <w:p w14:paraId="7D98C1FB" w14:textId="19CDB109" w:rsidR="00E91C76" w:rsidRPr="00C62B29" w:rsidRDefault="00E91C76"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 xml:space="preserve">Podkreślić należy szczególną konieczność zapewnienia weryfikacji z bazą ZSIN w zakresie danych stanowiących podstawę oznaczenia nieruchomości (w szczególności danych </w:t>
      </w:r>
      <w:r w:rsidR="00E94473" w:rsidRPr="00C62B29">
        <w:rPr>
          <w:rFonts w:ascii="Bookman Old Style" w:hAnsi="Bookman Old Style"/>
        </w:rPr>
        <w:t>lokali,</w:t>
      </w:r>
      <w:r w:rsidRPr="00C62B29">
        <w:rPr>
          <w:rFonts w:ascii="Bookman Old Style" w:hAnsi="Bookman Old Style"/>
        </w:rPr>
        <w:t xml:space="preserve"> dla których ma być założona księga wieczysta) wręcz postulować należałoby odniesienie się do takich danych w formie teleinformatycznej, bez potrzeby przedkładania dokumentów.</w:t>
      </w:r>
    </w:p>
    <w:p w14:paraId="4EAFD750" w14:textId="4B7FE5E5" w:rsidR="00461B4F" w:rsidRPr="00C62B29" w:rsidRDefault="00461B4F" w:rsidP="00E47EAC">
      <w:pPr>
        <w:suppressAutoHyphens/>
        <w:ind w:firstLine="567"/>
        <w:jc w:val="both"/>
        <w:rPr>
          <w:rFonts w:ascii="Bookman Old Style" w:hAnsi="Bookman Old Style"/>
        </w:rPr>
      </w:pPr>
    </w:p>
    <w:p w14:paraId="4AE40203" w14:textId="77777777" w:rsidR="00461B4F" w:rsidRPr="00C62B29" w:rsidRDefault="00461B4F" w:rsidP="001049D3">
      <w:pPr>
        <w:suppressAutoHyphens/>
        <w:spacing w:line="360" w:lineRule="auto"/>
        <w:jc w:val="both"/>
        <w:rPr>
          <w:rFonts w:ascii="Bookman Old Style" w:hAnsi="Bookman Old Style"/>
          <w:b/>
          <w:bCs/>
        </w:rPr>
      </w:pPr>
      <w:r w:rsidRPr="00C62B29">
        <w:rPr>
          <w:rFonts w:ascii="Bookman Old Style" w:hAnsi="Bookman Old Style"/>
          <w:b/>
          <w:bCs/>
        </w:rPr>
        <w:t>2. Proponowane brzmienie nowych przepisów:</w:t>
      </w:r>
    </w:p>
    <w:p w14:paraId="282E00C9"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Art. 1. W ustawie z dnia 14 lutego 1991 r. – Prawo o notariacie (Dz. U. z 2020 r. poz. 1192 </w:t>
      </w:r>
      <w:bookmarkStart w:id="2" w:name="_Hlk102552980"/>
      <w:r w:rsidRPr="00C62B29">
        <w:rPr>
          <w:rFonts w:ascii="Bookman Old Style" w:hAnsi="Bookman Old Style"/>
        </w:rPr>
        <w:t>i 2320 oraz z 2021 r. poz. 1177</w:t>
      </w:r>
      <w:bookmarkEnd w:id="2"/>
      <w:r w:rsidRPr="00C62B29">
        <w:rPr>
          <w:rFonts w:ascii="Bookman Old Style" w:hAnsi="Bookman Old Style"/>
        </w:rPr>
        <w:t>) wprowadza się następujące zmiany:</w:t>
      </w:r>
    </w:p>
    <w:p w14:paraId="07E0F4BE" w14:textId="1006FFDA" w:rsidR="00461B4F" w:rsidRPr="00C62B29" w:rsidRDefault="00442AA1" w:rsidP="001049D3">
      <w:pPr>
        <w:suppressAutoHyphens/>
        <w:spacing w:line="360" w:lineRule="auto"/>
        <w:ind w:firstLine="567"/>
        <w:jc w:val="both"/>
        <w:rPr>
          <w:rFonts w:ascii="Bookman Old Style" w:hAnsi="Bookman Old Style"/>
        </w:rPr>
      </w:pPr>
      <w:r w:rsidRPr="00C62B29">
        <w:rPr>
          <w:rFonts w:ascii="Bookman Old Style" w:hAnsi="Bookman Old Style"/>
        </w:rPr>
        <w:t>1</w:t>
      </w:r>
      <w:r w:rsidR="00461B4F" w:rsidRPr="00C62B29">
        <w:rPr>
          <w:rFonts w:ascii="Bookman Old Style" w:hAnsi="Bookman Old Style"/>
        </w:rPr>
        <w:t xml:space="preserve">) w art.  7. </w:t>
      </w:r>
      <w:r w:rsidR="007E6334" w:rsidRPr="00C62B29">
        <w:rPr>
          <w:rFonts w:ascii="Bookman Old Style" w:hAnsi="Bookman Old Style"/>
        </w:rPr>
        <w:t>§ 2.</w:t>
      </w:r>
      <w:r w:rsidR="00461B4F" w:rsidRPr="00C62B29">
        <w:rPr>
          <w:rFonts w:ascii="Bookman Old Style" w:hAnsi="Bookman Old Style"/>
        </w:rPr>
        <w:t xml:space="preserve"> otrzymuje brzmienie:</w:t>
      </w:r>
    </w:p>
    <w:p w14:paraId="5C19C8B5" w14:textId="7D7AF1B9" w:rsidR="00461B4F" w:rsidRPr="00C62B29" w:rsidRDefault="007E6334" w:rsidP="001049D3">
      <w:pPr>
        <w:suppressAutoHyphens/>
        <w:spacing w:line="360" w:lineRule="auto"/>
        <w:ind w:firstLine="567"/>
        <w:jc w:val="both"/>
        <w:rPr>
          <w:rFonts w:ascii="Bookman Old Style" w:hAnsi="Bookman Old Style"/>
        </w:rPr>
      </w:pPr>
      <w:r w:rsidRPr="00C62B29">
        <w:rPr>
          <w:rFonts w:ascii="Bookman Old Style" w:hAnsi="Bookman Old Style"/>
        </w:rPr>
        <w:t>§ 2.</w:t>
      </w:r>
      <w:r w:rsidR="00461B4F" w:rsidRPr="00C62B29">
        <w:rPr>
          <w:rFonts w:ascii="Bookman Old Style" w:hAnsi="Bookman Old Style"/>
        </w:rPr>
        <w:t xml:space="preserve"> Jeżeli wniosek o wpis w księdze wieczystej, o którym mowa w art. 92 § 4, podlega opłacie sądowej, notariusz pobiera od wnioskodawcy tę opłatę oraz wskazuje we wniosku o wpis w księdze wieczystej wysokość pobranej opłaty sądowej. Notariusz uzależnia sporządzenie aktu notarialnego oraz objęcie wnioskiem o wpis w księdze wieczystej żądania dokonania w księdze wieczystej także innego wpisu związanego z czynnością notarialną, od uprzedniego uiszczenia przez wnioskodawcę należnej opłaty sądowej. </w:t>
      </w:r>
      <w:r w:rsidR="00461B4F" w:rsidRPr="00C62B29">
        <w:rPr>
          <w:rFonts w:ascii="Bookman Old Style" w:hAnsi="Bookman Old Style"/>
          <w:b/>
          <w:bCs/>
        </w:rPr>
        <w:t xml:space="preserve">Pobraną opłatę sądową notariusz przekazuje właściwemu sądowi rejonowemu, po potrąceniu na rzecz </w:t>
      </w:r>
      <w:r w:rsidR="00442AA1" w:rsidRPr="00C62B29">
        <w:rPr>
          <w:rFonts w:ascii="Bookman Old Style" w:hAnsi="Bookman Old Style"/>
          <w:b/>
          <w:bCs/>
        </w:rPr>
        <w:t>n</w:t>
      </w:r>
      <w:r w:rsidR="00461B4F" w:rsidRPr="00C62B29">
        <w:rPr>
          <w:rFonts w:ascii="Bookman Old Style" w:hAnsi="Bookman Old Style"/>
          <w:b/>
          <w:bCs/>
        </w:rPr>
        <w:t>otariusza opłaty za wpisy dokonane przez notariusza na podstawie art. 79 pkt 1d Prawo notariacie.</w:t>
      </w:r>
    </w:p>
    <w:p w14:paraId="64359D9F" w14:textId="77777777" w:rsidR="00461B4F" w:rsidRPr="00C62B29" w:rsidRDefault="00442AA1" w:rsidP="001049D3">
      <w:pPr>
        <w:suppressAutoHyphens/>
        <w:spacing w:line="360" w:lineRule="auto"/>
        <w:ind w:firstLine="567"/>
        <w:jc w:val="both"/>
        <w:rPr>
          <w:rFonts w:ascii="Bookman Old Style" w:hAnsi="Bookman Old Style"/>
        </w:rPr>
      </w:pPr>
      <w:r w:rsidRPr="00C62B29">
        <w:rPr>
          <w:rFonts w:ascii="Bookman Old Style" w:hAnsi="Bookman Old Style"/>
        </w:rPr>
        <w:t>2</w:t>
      </w:r>
      <w:r w:rsidR="00461B4F" w:rsidRPr="00C62B29">
        <w:rPr>
          <w:rFonts w:ascii="Bookman Old Style" w:hAnsi="Bookman Old Style"/>
        </w:rPr>
        <w:t>) w art. 79:</w:t>
      </w:r>
    </w:p>
    <w:p w14:paraId="77ECBCBE"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a) po pkt 1c dodaje się pkt 1d i 1e w brzmieniu:</w:t>
      </w:r>
    </w:p>
    <w:p w14:paraId="5011B903"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„1d</w:t>
      </w:r>
      <w:r w:rsidRPr="00C62B29">
        <w:rPr>
          <w:rFonts w:ascii="Bookman Old Style" w:hAnsi="Bookman Old Style"/>
          <w:b/>
          <w:bCs/>
        </w:rPr>
        <w:t>) dokonuje w księdze wieczystej wpisów</w:t>
      </w:r>
      <w:r w:rsidRPr="00C62B29">
        <w:rPr>
          <w:rFonts w:ascii="Bookman Old Style" w:hAnsi="Bookman Old Style"/>
        </w:rPr>
        <w:t xml:space="preserve"> dotyczących ustanowienia i obciążenia odrębnej własności lokalu ograniczonymi prawami rzeczowymi oraz </w:t>
      </w:r>
      <w:r w:rsidRPr="00C62B29">
        <w:rPr>
          <w:rFonts w:ascii="Bookman Old Style" w:hAnsi="Bookman Old Style"/>
          <w:b/>
          <w:bCs/>
        </w:rPr>
        <w:t>innymi prawami</w:t>
      </w:r>
      <w:r w:rsidRPr="00C62B29">
        <w:rPr>
          <w:rFonts w:ascii="Bookman Old Style" w:hAnsi="Bookman Old Style"/>
        </w:rPr>
        <w:t xml:space="preserve"> i roszczeniami dotyczycącymi tego lokalu, jak również dokonuje w księdze wieczystej wpisów związanych z ustanowieniem odrębnej własności lokali, wpisów przyłączenia i odłączenia nieruchomości lub ich części wraz z ujawnieniem w księgach wieczystych ograniczonych praw rzeczowych, ograniczeń w rozporządzaniu oraz innych praw i roszczeń;</w:t>
      </w:r>
    </w:p>
    <w:p w14:paraId="52F388D2"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1e) </w:t>
      </w:r>
      <w:r w:rsidRPr="00C62B29">
        <w:rPr>
          <w:rFonts w:ascii="Bookman Old Style" w:hAnsi="Bookman Old Style"/>
          <w:b/>
          <w:bCs/>
        </w:rPr>
        <w:t>po dokonaniu wpisu w księdze wieczystej</w:t>
      </w:r>
      <w:r w:rsidRPr="00C62B29">
        <w:rPr>
          <w:rFonts w:ascii="Bookman Old Style" w:hAnsi="Bookman Old Style"/>
        </w:rPr>
        <w:t xml:space="preserve"> powiadamia strony czynności oraz bank, na rzecz którego została wpisana hipoteka </w:t>
      </w:r>
      <w:r w:rsidRPr="00C62B29">
        <w:rPr>
          <w:rFonts w:ascii="Bookman Old Style" w:hAnsi="Bookman Old Style"/>
          <w:b/>
          <w:bCs/>
        </w:rPr>
        <w:t>oraz w miarę potrzeby innych uczestników</w:t>
      </w:r>
      <w:r w:rsidRPr="00C62B29">
        <w:rPr>
          <w:rFonts w:ascii="Bookman Old Style" w:hAnsi="Bookman Old Style"/>
        </w:rPr>
        <w:t xml:space="preserve"> o dokonanym wpisie wraz z pouczeniem o przysługującym środku zaskarżenia;”;</w:t>
      </w:r>
    </w:p>
    <w:p w14:paraId="63D4CD3C" w14:textId="42596B8C" w:rsidR="00461B4F" w:rsidRPr="00C62B29" w:rsidRDefault="0037787E"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3</w:t>
      </w:r>
      <w:r w:rsidR="00461B4F" w:rsidRPr="00C62B29">
        <w:rPr>
          <w:rFonts w:ascii="Bookman Old Style" w:hAnsi="Bookman Old Style"/>
        </w:rPr>
        <w:t xml:space="preserve">) w art. 92 a </w:t>
      </w:r>
      <w:r w:rsidR="007E6334" w:rsidRPr="00C62B29">
        <w:rPr>
          <w:rFonts w:ascii="Bookman Old Style" w:hAnsi="Bookman Old Style"/>
        </w:rPr>
        <w:t>§ 2</w:t>
      </w:r>
      <w:r w:rsidR="00461B4F" w:rsidRPr="00C62B29">
        <w:rPr>
          <w:rFonts w:ascii="Bookman Old Style" w:hAnsi="Bookman Old Style"/>
        </w:rPr>
        <w:t xml:space="preserve"> otrzymuje brzmienie:</w:t>
      </w:r>
    </w:p>
    <w:p w14:paraId="75D254AE"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Art.  92a.  [Centralne Repozytorium Elektronicznych Wypisów Aktów Notarialnych]</w:t>
      </w:r>
    </w:p>
    <w:p w14:paraId="210787E8" w14:textId="7205D619" w:rsidR="00461B4F" w:rsidRPr="00C62B29" w:rsidRDefault="007E6334" w:rsidP="001049D3">
      <w:pPr>
        <w:suppressAutoHyphens/>
        <w:spacing w:line="360" w:lineRule="auto"/>
        <w:ind w:firstLine="567"/>
        <w:jc w:val="both"/>
        <w:rPr>
          <w:rFonts w:ascii="Bookman Old Style" w:hAnsi="Bookman Old Style"/>
        </w:rPr>
      </w:pPr>
      <w:r w:rsidRPr="00C62B29">
        <w:rPr>
          <w:rFonts w:ascii="Bookman Old Style" w:hAnsi="Bookman Old Style"/>
        </w:rPr>
        <w:t>§ 2.</w:t>
      </w:r>
      <w:r w:rsidR="00461B4F" w:rsidRPr="00C62B29">
        <w:rPr>
          <w:rFonts w:ascii="Bookman Old Style" w:hAnsi="Bookman Old Style"/>
        </w:rPr>
        <w:t xml:space="preserve"> Niezwłocznie po sporządzeniu aktu notarialnego:</w:t>
      </w:r>
    </w:p>
    <w:p w14:paraId="38F589F3"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1) zawierającego w swej treści dane stanowiące podstawę wpisu do rejestru przedsiębiorców Krajowego Rejestru Sądowego albo podlegającego złożeniu do akt rejestrowych podmiotu wpisanego do rejestru przedsiębiorców Krajowego Rejestru Sądowego,</w:t>
      </w:r>
    </w:p>
    <w:p w14:paraId="3EBA11BC" w14:textId="77777777" w:rsidR="00461B4F" w:rsidRPr="00C62B29" w:rsidRDefault="00461B4F"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t>2) stanowiącego podstawę wpisu do księgi wieczystej albo podlegającego złożeniu do akt księgi wieczystej;</w:t>
      </w:r>
    </w:p>
    <w:p w14:paraId="034726B4" w14:textId="77777777" w:rsidR="00461B4F" w:rsidRPr="00C62B29" w:rsidRDefault="00461B4F"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t xml:space="preserve">3) z którego wynika ustawowe prawo pierwokupu, ustawowe prawo pierwszeństwa nabycia, jak również </w:t>
      </w:r>
      <w:r w:rsidR="00ED7E33" w:rsidRPr="00C62B29">
        <w:rPr>
          <w:rFonts w:ascii="Bookman Old Style" w:hAnsi="Bookman Old Style"/>
          <w:b/>
          <w:bCs/>
        </w:rPr>
        <w:t xml:space="preserve">oświadczenie w formie </w:t>
      </w:r>
      <w:r w:rsidRPr="00C62B29">
        <w:rPr>
          <w:rFonts w:ascii="Bookman Old Style" w:hAnsi="Bookman Old Style"/>
          <w:b/>
          <w:bCs/>
        </w:rPr>
        <w:t>aktu</w:t>
      </w:r>
      <w:r w:rsidR="00ED7E33" w:rsidRPr="00C62B29">
        <w:rPr>
          <w:rFonts w:ascii="Bookman Old Style" w:hAnsi="Bookman Old Style"/>
          <w:b/>
          <w:bCs/>
        </w:rPr>
        <w:t xml:space="preserve"> notarialnego</w:t>
      </w:r>
      <w:r w:rsidRPr="00C62B29">
        <w:rPr>
          <w:rFonts w:ascii="Bookman Old Style" w:hAnsi="Bookman Old Style"/>
          <w:b/>
          <w:bCs/>
        </w:rPr>
        <w:t xml:space="preserve"> o skorzystania z takiego prawa lub przenoszącego własność nieruchomoś</w:t>
      </w:r>
      <w:r w:rsidR="0076547D" w:rsidRPr="00C62B29">
        <w:rPr>
          <w:rFonts w:ascii="Bookman Old Style" w:hAnsi="Bookman Old Style"/>
          <w:b/>
          <w:bCs/>
        </w:rPr>
        <w:t>ci</w:t>
      </w:r>
      <w:r w:rsidRPr="00C62B29">
        <w:rPr>
          <w:rFonts w:ascii="Bookman Old Style" w:hAnsi="Bookman Old Style"/>
          <w:b/>
          <w:bCs/>
        </w:rPr>
        <w:t xml:space="preserve"> na okoliczność jego niewykonania;</w:t>
      </w:r>
    </w:p>
    <w:p w14:paraId="5BA46CDA" w14:textId="77777777" w:rsidR="00461B4F" w:rsidRPr="00C62B29" w:rsidRDefault="00461B4F" w:rsidP="001049D3">
      <w:pPr>
        <w:suppressAutoHyphens/>
        <w:spacing w:line="360" w:lineRule="auto"/>
        <w:ind w:firstLine="567"/>
        <w:jc w:val="both"/>
        <w:rPr>
          <w:rFonts w:ascii="Bookman Old Style" w:hAnsi="Bookman Old Style"/>
        </w:rPr>
      </w:pPr>
      <w:r w:rsidRPr="00C62B29">
        <w:rPr>
          <w:rFonts w:ascii="Bookman Old Style" w:hAnsi="Bookman Old Style"/>
        </w:rPr>
        <w:t>notariusz umieszcza jego elektroniczny wypis w Repozytorium. Notariusz opatruje wypis kwalifikowanym podpisem elektronicznym.</w:t>
      </w:r>
    </w:p>
    <w:p w14:paraId="4DF0E082" w14:textId="77777777" w:rsidR="00461B4F" w:rsidRPr="00C62B29" w:rsidRDefault="00461B4F" w:rsidP="001049D3">
      <w:pPr>
        <w:suppressAutoHyphens/>
        <w:spacing w:line="360" w:lineRule="auto"/>
        <w:ind w:firstLine="567"/>
        <w:jc w:val="both"/>
        <w:rPr>
          <w:rFonts w:ascii="Bookman Old Style" w:hAnsi="Bookman Old Style"/>
          <w:b/>
          <w:bCs/>
        </w:rPr>
      </w:pPr>
      <w:r w:rsidRPr="00C62B29">
        <w:rPr>
          <w:rFonts w:ascii="Bookman Old Style" w:hAnsi="Bookman Old Style"/>
          <w:b/>
          <w:bCs/>
        </w:rPr>
        <w:t>Zamieszczenie aktu w Centralnym Repozytorium Elektronicznych Wypisów Aktów Notarialnych ma skutek złożenia do akt księgi wieczystej</w:t>
      </w:r>
      <w:r w:rsidR="006F0E1A" w:rsidRPr="00C62B29">
        <w:rPr>
          <w:rFonts w:ascii="Bookman Old Style" w:hAnsi="Bookman Old Style"/>
          <w:b/>
          <w:bCs/>
        </w:rPr>
        <w:t>. D</w:t>
      </w:r>
      <w:r w:rsidRPr="00C62B29">
        <w:rPr>
          <w:rFonts w:ascii="Bookman Old Style" w:hAnsi="Bookman Old Style"/>
          <w:b/>
          <w:bCs/>
        </w:rPr>
        <w:t>okonany w księdze wieczystej wpis obejmuje przywołanie jako podstawy wpisu numeru pod jakim akt został złożony w Centralnym Repozytorium Elektronicznych Wypisów Aktów Notarialnych</w:t>
      </w:r>
      <w:r w:rsidR="0076547D" w:rsidRPr="00C62B29">
        <w:rPr>
          <w:rFonts w:ascii="Bookman Old Style" w:hAnsi="Bookman Old Style"/>
          <w:b/>
          <w:bCs/>
        </w:rPr>
        <w:t>.</w:t>
      </w:r>
    </w:p>
    <w:p w14:paraId="2CE1A8A1" w14:textId="77777777" w:rsidR="005238B3" w:rsidRPr="00C62B29" w:rsidRDefault="005238B3" w:rsidP="00E47EAC">
      <w:pPr>
        <w:suppressAutoHyphens/>
        <w:ind w:firstLine="567"/>
        <w:jc w:val="both"/>
        <w:rPr>
          <w:rStyle w:val="Brak"/>
          <w:rFonts w:ascii="Bookman Old Style" w:hAnsi="Bookman Old Style"/>
          <w:b/>
        </w:rPr>
      </w:pPr>
      <w:bookmarkStart w:id="3" w:name="_Hlk92885396"/>
    </w:p>
    <w:p w14:paraId="680EF450" w14:textId="77777777" w:rsidR="008755C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b/>
        </w:rPr>
        <w:t>Art. 3.</w:t>
      </w:r>
      <w:r w:rsidRPr="00C62B29">
        <w:rPr>
          <w:rStyle w:val="Brak"/>
          <w:rFonts w:ascii="Bookman Old Style" w:hAnsi="Bookman Old Style"/>
        </w:rPr>
        <w:t xml:space="preserve">  </w:t>
      </w:r>
      <w:bookmarkEnd w:id="3"/>
      <w:r w:rsidRPr="00C62B29">
        <w:rPr>
          <w:rStyle w:val="Brak"/>
          <w:rFonts w:ascii="Bookman Old Style" w:hAnsi="Bookman Old Style"/>
        </w:rPr>
        <w:t xml:space="preserve">W ustawie z dnia 17 listopada 1964 r. – Kodeks postępowania cywilnego (Dz. U. z 2021 r. poz. 1805, 1981, 2052, 2262, 2270, 2289, 2328, </w:t>
      </w:r>
    </w:p>
    <w:p w14:paraId="20BF9A60"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i 2459 oraz z 2022 r. poz. 1, 366, 480, 807, 830 i 974) wprowadza się następujące zmiany:</w:t>
      </w:r>
    </w:p>
    <w:p w14:paraId="71920B45"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1) w </w:t>
      </w:r>
      <w:bookmarkStart w:id="4" w:name="_Hlk103253885"/>
      <w:r w:rsidRPr="00C62B29">
        <w:rPr>
          <w:rStyle w:val="Brak"/>
          <w:rFonts w:ascii="Bookman Old Style" w:hAnsi="Bookman Old Style"/>
        </w:rPr>
        <w:t>art. 626</w:t>
      </w:r>
      <w:r w:rsidRPr="00C62B29">
        <w:rPr>
          <w:rStyle w:val="Brak"/>
          <w:rFonts w:ascii="Bookman Old Style" w:hAnsi="Bookman Old Style"/>
          <w:vertAlign w:val="superscript"/>
        </w:rPr>
        <w:t>8</w:t>
      </w:r>
      <w:bookmarkEnd w:id="4"/>
      <w:r w:rsidRPr="00C62B29">
        <w:rPr>
          <w:rStyle w:val="Brak"/>
          <w:rFonts w:ascii="Bookman Old Style" w:hAnsi="Bookman Old Style"/>
        </w:rPr>
        <w:t>:</w:t>
      </w:r>
    </w:p>
    <w:p w14:paraId="0AC75154"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a) § 8 otrzymuje brzmienie:</w:t>
      </w:r>
    </w:p>
    <w:p w14:paraId="1B87AF5A"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 8. Wpis w księdze wieczystej podpisany przez sędziego, referendarza sądowego lub notariusza uważa się za dokonany z chwilą jego zapisania w centralnej bazie danych ksiąg wieczystych.”, </w:t>
      </w:r>
    </w:p>
    <w:p w14:paraId="3F5ECD23"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b) dodaje się </w:t>
      </w:r>
      <w:bookmarkStart w:id="5" w:name="_Hlk92886082"/>
      <w:bookmarkStart w:id="6" w:name="_Hlk92886130"/>
      <w:r w:rsidRPr="00C62B29">
        <w:rPr>
          <w:rStyle w:val="Brak"/>
          <w:rFonts w:ascii="Bookman Old Style" w:hAnsi="Bookman Old Style"/>
        </w:rPr>
        <w:t>§</w:t>
      </w:r>
      <w:bookmarkEnd w:id="5"/>
      <w:r w:rsidRPr="00C62B29">
        <w:rPr>
          <w:rStyle w:val="Brak"/>
          <w:rFonts w:ascii="Bookman Old Style" w:hAnsi="Bookman Old Style"/>
        </w:rPr>
        <w:t> 12</w:t>
      </w:r>
      <w:bookmarkEnd w:id="6"/>
      <w:r w:rsidRPr="00C62B29">
        <w:rPr>
          <w:rStyle w:val="Brak"/>
          <w:rFonts w:ascii="Bookman Old Style" w:hAnsi="Bookman Old Style"/>
        </w:rPr>
        <w:t>, § 13 i § 14 w brzmieniu:</w:t>
      </w:r>
    </w:p>
    <w:p w14:paraId="32F08F75" w14:textId="77777777" w:rsidR="00461B4F" w:rsidRPr="00C62B29" w:rsidRDefault="00461B4F" w:rsidP="001049D3">
      <w:pPr>
        <w:suppressAutoHyphens/>
        <w:spacing w:line="360" w:lineRule="auto"/>
        <w:ind w:firstLine="567"/>
        <w:jc w:val="both"/>
        <w:rPr>
          <w:rStyle w:val="Brak"/>
          <w:rFonts w:ascii="Bookman Old Style" w:hAnsi="Bookman Old Style"/>
          <w:bCs/>
        </w:rPr>
      </w:pPr>
      <w:bookmarkStart w:id="7" w:name="_Hlk92960137"/>
      <w:r w:rsidRPr="00C62B29">
        <w:rPr>
          <w:rStyle w:val="Brak"/>
          <w:rFonts w:ascii="Bookman Old Style" w:hAnsi="Bookman Old Style"/>
          <w:bCs/>
        </w:rPr>
        <w:t>„</w:t>
      </w:r>
      <w:bookmarkStart w:id="8" w:name="_Hlk92960462"/>
      <w:r w:rsidRPr="00C62B29">
        <w:rPr>
          <w:rStyle w:val="Brak"/>
          <w:rFonts w:ascii="Bookman Old Style" w:hAnsi="Bookman Old Style"/>
          <w:bCs/>
        </w:rPr>
        <w:t>§ </w:t>
      </w:r>
      <w:bookmarkEnd w:id="8"/>
      <w:r w:rsidRPr="00C62B29">
        <w:rPr>
          <w:rStyle w:val="Brak"/>
          <w:rFonts w:ascii="Bookman Old Style" w:hAnsi="Bookman Old Style"/>
          <w:bCs/>
        </w:rPr>
        <w:t>12</w:t>
      </w:r>
      <w:bookmarkEnd w:id="7"/>
      <w:r w:rsidRPr="00C62B29">
        <w:rPr>
          <w:rStyle w:val="Brak"/>
          <w:rFonts w:ascii="Bookman Old Style" w:hAnsi="Bookman Old Style"/>
          <w:bCs/>
        </w:rPr>
        <w:t xml:space="preserve">. W zakresie uregulowanym w Prawie o </w:t>
      </w:r>
      <w:r w:rsidR="0076547D" w:rsidRPr="00C62B29">
        <w:rPr>
          <w:rStyle w:val="Brak"/>
          <w:rFonts w:ascii="Bookman Old Style" w:hAnsi="Bookman Old Style"/>
          <w:bCs/>
        </w:rPr>
        <w:t>n</w:t>
      </w:r>
      <w:r w:rsidRPr="00C62B29">
        <w:rPr>
          <w:rStyle w:val="Brak"/>
          <w:rFonts w:ascii="Bookman Old Style" w:hAnsi="Bookman Old Style"/>
          <w:bCs/>
        </w:rPr>
        <w:t xml:space="preserve">otariacie wpisów za pośrednictwem systemu teleinformatycznego dokonuje również notariusz </w:t>
      </w:r>
      <w:r w:rsidRPr="00C62B29">
        <w:rPr>
          <w:rStyle w:val="Brak"/>
          <w:rFonts w:ascii="Bookman Old Style" w:hAnsi="Bookman Old Style"/>
          <w:bCs/>
        </w:rPr>
        <w:lastRenderedPageBreak/>
        <w:t>prowadzący kancelarię notarialną</w:t>
      </w:r>
      <w:r w:rsidR="0076547D" w:rsidRPr="00C62B29">
        <w:rPr>
          <w:rStyle w:val="Brak"/>
          <w:rFonts w:ascii="Bookman Old Style" w:hAnsi="Bookman Old Style"/>
          <w:bCs/>
        </w:rPr>
        <w:t>,</w:t>
      </w:r>
      <w:r w:rsidRPr="00C62B29">
        <w:rPr>
          <w:rStyle w:val="Brak"/>
          <w:rFonts w:ascii="Bookman Old Style" w:hAnsi="Bookman Old Style"/>
          <w:bCs/>
        </w:rPr>
        <w:t xml:space="preserve"> w której dokonano czynności będącej podstawą wpisu.</w:t>
      </w:r>
    </w:p>
    <w:p w14:paraId="51BC49E1"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13. Na wpis dokonany przez notariusza służy skarga do sądu. Przepisy art. 518</w:t>
      </w:r>
      <w:r w:rsidRPr="00C62B29">
        <w:rPr>
          <w:rStyle w:val="Brak"/>
          <w:rFonts w:ascii="Bookman Old Style" w:hAnsi="Bookman Old Style"/>
          <w:vertAlign w:val="superscript"/>
        </w:rPr>
        <w:t>1</w:t>
      </w:r>
      <w:r w:rsidRPr="00C62B29">
        <w:rPr>
          <w:rStyle w:val="Brak"/>
          <w:rFonts w:ascii="Bookman Old Style" w:hAnsi="Bookman Old Style"/>
        </w:rPr>
        <w:t xml:space="preserve"> § 3 i 4 stosuje się odpowiednio.</w:t>
      </w:r>
    </w:p>
    <w:p w14:paraId="3F6B166E"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14. W przypadku braku podstaw do dokonania wpisu lub istnienia przeszkody do jego dokonania, notariusz przekazuje wniosek o wpis do sądu.”;</w:t>
      </w:r>
    </w:p>
    <w:p w14:paraId="0A483DB3" w14:textId="77777777" w:rsidR="00461B4F" w:rsidRPr="00C62B29" w:rsidRDefault="00461B4F" w:rsidP="00E47EAC">
      <w:pPr>
        <w:suppressAutoHyphens/>
        <w:jc w:val="both"/>
        <w:rPr>
          <w:rFonts w:ascii="Bookman Old Style" w:hAnsi="Bookman Old Style"/>
        </w:rPr>
      </w:pPr>
    </w:p>
    <w:p w14:paraId="1073B74D"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b/>
        </w:rPr>
        <w:t>Art. 4.</w:t>
      </w:r>
      <w:r w:rsidRPr="00C62B29">
        <w:rPr>
          <w:rStyle w:val="Brak"/>
          <w:rFonts w:ascii="Bookman Old Style" w:hAnsi="Bookman Old Style"/>
        </w:rPr>
        <w:t> W ustawie z dnia 6 lipca 1982 r. o księgach wieczystych i hipotece (Dz. U. z 2019 r. poz. 2204, z 2021 r. poz. 1177 i 1978 oraz z 2022 r. poz. 872) wprowadza się następujące zmiany:</w:t>
      </w:r>
    </w:p>
    <w:p w14:paraId="424BAC16" w14:textId="77777777" w:rsidR="00461B4F" w:rsidRPr="00C62B29" w:rsidRDefault="00461B4F" w:rsidP="001049D3">
      <w:pPr>
        <w:pStyle w:val="Akapitzlist"/>
        <w:numPr>
          <w:ilvl w:val="0"/>
          <w:numId w:val="4"/>
        </w:numPr>
        <w:tabs>
          <w:tab w:val="right" w:leader="hyphen" w:pos="993"/>
        </w:tabs>
        <w:suppressAutoHyphens/>
        <w:spacing w:line="360" w:lineRule="auto"/>
        <w:contextualSpacing/>
        <w:jc w:val="both"/>
        <w:rPr>
          <w:rStyle w:val="Brak"/>
          <w:rFonts w:ascii="Bookman Old Style" w:hAnsi="Bookman Old Style"/>
        </w:rPr>
      </w:pPr>
      <w:r w:rsidRPr="00C62B29">
        <w:rPr>
          <w:rStyle w:val="Brak"/>
          <w:rFonts w:ascii="Bookman Old Style" w:hAnsi="Bookman Old Style"/>
        </w:rPr>
        <w:t>art. 8 otrzymuje brzmienie:</w:t>
      </w:r>
    </w:p>
    <w:p w14:paraId="6C159AC9" w14:textId="5709CB74"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„Art. 8. Rękojmię wiary publicznej ksiąg wieczystych wyłącza wzmianka o </w:t>
      </w:r>
      <w:r w:rsidR="007E6334" w:rsidRPr="00C62B29">
        <w:rPr>
          <w:rStyle w:val="Brak"/>
          <w:rFonts w:ascii="Bookman Old Style" w:hAnsi="Bookman Old Style"/>
        </w:rPr>
        <w:t>wniosku, o</w:t>
      </w:r>
      <w:r w:rsidRPr="00C62B29">
        <w:rPr>
          <w:rStyle w:val="Brak"/>
          <w:rFonts w:ascii="Bookman Old Style" w:hAnsi="Bookman Old Style"/>
        </w:rPr>
        <w:t xml:space="preserve"> skardze na orzeczenie referendarza sądowego, skardze na wpis dokonany przez notariusza o apelacji lub kasacji oraz ostrzeżenie dotyczące niezgodności stanu prawnego ujawnionego w księdze wieczystej z rzeczywistym stanem prawnym nieruchomości.”.</w:t>
      </w:r>
    </w:p>
    <w:p w14:paraId="13E00636" w14:textId="77777777" w:rsidR="00461B4F" w:rsidRPr="00C62B29" w:rsidRDefault="00461B4F" w:rsidP="001049D3">
      <w:pPr>
        <w:pStyle w:val="Akapitzlist"/>
        <w:numPr>
          <w:ilvl w:val="0"/>
          <w:numId w:val="4"/>
        </w:numPr>
        <w:suppressAutoHyphens/>
        <w:spacing w:line="360" w:lineRule="auto"/>
        <w:contextualSpacing/>
        <w:jc w:val="both"/>
        <w:rPr>
          <w:rStyle w:val="Brak"/>
          <w:rFonts w:ascii="Bookman Old Style" w:hAnsi="Bookman Old Style"/>
        </w:rPr>
      </w:pPr>
      <w:r w:rsidRPr="00C62B29">
        <w:rPr>
          <w:rStyle w:val="Brak"/>
          <w:rFonts w:ascii="Bookman Old Style" w:hAnsi="Bookman Old Style"/>
        </w:rPr>
        <w:t>art. 23 otrzymuje brzmienie:</w:t>
      </w:r>
    </w:p>
    <w:p w14:paraId="145AFC65"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„Art. 23. Prowadzenie ksiąg wieczystych należy do właściwości sądów rejonowych. Czynności w zakresie prowadzenia ksiąg wieczystych mogą wykonywać referendarze sądowi oraz w przypadkach określonych w ustawie notariusze.”. </w:t>
      </w:r>
    </w:p>
    <w:p w14:paraId="019159B4" w14:textId="77777777" w:rsidR="00461B4F" w:rsidRPr="00C62B29" w:rsidRDefault="00461B4F" w:rsidP="001049D3">
      <w:pPr>
        <w:pStyle w:val="Akapitzlist"/>
        <w:numPr>
          <w:ilvl w:val="0"/>
          <w:numId w:val="4"/>
        </w:numPr>
        <w:tabs>
          <w:tab w:val="right" w:leader="hyphen" w:pos="993"/>
        </w:tabs>
        <w:suppressAutoHyphens/>
        <w:spacing w:line="360" w:lineRule="auto"/>
        <w:contextualSpacing/>
        <w:jc w:val="both"/>
        <w:rPr>
          <w:rStyle w:val="Brak"/>
          <w:rFonts w:ascii="Bookman Old Style" w:hAnsi="Bookman Old Style"/>
        </w:rPr>
      </w:pPr>
      <w:r w:rsidRPr="00C62B29">
        <w:rPr>
          <w:rStyle w:val="Brak"/>
          <w:rFonts w:ascii="Bookman Old Style" w:hAnsi="Bookman Old Style"/>
        </w:rPr>
        <w:t>w art. 58 pkt 2 otrzymuje brzmienie:</w:t>
      </w:r>
    </w:p>
    <w:p w14:paraId="402B0BE8"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 xml:space="preserve">„2) </w:t>
      </w:r>
      <w:r w:rsidRPr="00C62B29">
        <w:rPr>
          <w:rStyle w:val="Brak"/>
          <w:rFonts w:ascii="Bookman Old Style" w:hAnsi="Bookman Old Style"/>
        </w:rPr>
        <w:tab/>
        <w:t>czynności, które przy prowadzeniu i przechowywaniu ksiąg wieczystych mogą spełniać samodzielnie pracownicy sądowi, notariusze i pracownicy kancelarii notarialnych – uwzględniając zasady sprawności, racjonalności i szybkiego działania sądu oraz zasadę jawności ksiąg wieczystych.”;</w:t>
      </w:r>
    </w:p>
    <w:p w14:paraId="4E74A1FE" w14:textId="77777777" w:rsidR="00461B4F" w:rsidRPr="00C62B29" w:rsidRDefault="00461B4F" w:rsidP="001049D3">
      <w:pPr>
        <w:pStyle w:val="Akapitzlist"/>
        <w:numPr>
          <w:ilvl w:val="0"/>
          <w:numId w:val="4"/>
        </w:numPr>
        <w:tabs>
          <w:tab w:val="right" w:leader="hyphen" w:pos="993"/>
        </w:tabs>
        <w:suppressAutoHyphens/>
        <w:spacing w:line="360" w:lineRule="auto"/>
        <w:contextualSpacing/>
        <w:jc w:val="both"/>
        <w:rPr>
          <w:rStyle w:val="Brak"/>
          <w:rFonts w:ascii="Bookman Old Style" w:hAnsi="Bookman Old Style"/>
        </w:rPr>
      </w:pPr>
      <w:r w:rsidRPr="00C62B29">
        <w:rPr>
          <w:rStyle w:val="Brak"/>
          <w:rFonts w:ascii="Bookman Old Style" w:hAnsi="Bookman Old Style"/>
        </w:rPr>
        <w:t>po art. 58 dodaje się art. 58</w:t>
      </w:r>
      <w:r w:rsidRPr="00C62B29">
        <w:rPr>
          <w:rStyle w:val="Brak"/>
          <w:rFonts w:ascii="Bookman Old Style" w:hAnsi="Bookman Old Style"/>
          <w:vertAlign w:val="superscript"/>
        </w:rPr>
        <w:t>3</w:t>
      </w:r>
      <w:r w:rsidRPr="00C62B29">
        <w:rPr>
          <w:rStyle w:val="Brak"/>
          <w:rFonts w:ascii="Bookman Old Style" w:hAnsi="Bookman Old Style"/>
        </w:rPr>
        <w:t xml:space="preserve"> w brzmieniu:</w:t>
      </w:r>
    </w:p>
    <w:p w14:paraId="6B7762FD" w14:textId="77777777" w:rsidR="00461B4F" w:rsidRPr="00C62B29" w:rsidRDefault="00461B4F" w:rsidP="001049D3">
      <w:pPr>
        <w:suppressAutoHyphens/>
        <w:spacing w:line="360" w:lineRule="auto"/>
        <w:ind w:firstLine="567"/>
        <w:jc w:val="both"/>
        <w:rPr>
          <w:rStyle w:val="Brak"/>
          <w:rFonts w:ascii="Bookman Old Style" w:hAnsi="Bookman Old Style"/>
        </w:rPr>
      </w:pPr>
      <w:r w:rsidRPr="00C62B29">
        <w:rPr>
          <w:rStyle w:val="Brak"/>
          <w:rFonts w:ascii="Bookman Old Style" w:hAnsi="Bookman Old Style"/>
        </w:rPr>
        <w:t>„Art. 58</w:t>
      </w:r>
      <w:r w:rsidRPr="00C62B29">
        <w:rPr>
          <w:rStyle w:val="Brak"/>
          <w:rFonts w:ascii="Bookman Old Style" w:hAnsi="Bookman Old Style"/>
          <w:vertAlign w:val="superscript"/>
        </w:rPr>
        <w:t>3</w:t>
      </w:r>
      <w:r w:rsidRPr="00C62B29">
        <w:rPr>
          <w:rStyle w:val="Brak"/>
          <w:rFonts w:ascii="Bookman Old Style" w:hAnsi="Bookman Old Style"/>
        </w:rPr>
        <w:t xml:space="preserve">. Minister Sprawiedliwości w drodze rozporządzenia określi warunki techniczne dokonywania </w:t>
      </w:r>
      <w:r w:rsidR="006F0E1A" w:rsidRPr="00C62B29">
        <w:rPr>
          <w:rStyle w:val="Brak"/>
          <w:rFonts w:ascii="Bookman Old Style" w:hAnsi="Bookman Old Style"/>
        </w:rPr>
        <w:t xml:space="preserve">przez notariuszy </w:t>
      </w:r>
      <w:r w:rsidRPr="00C62B29">
        <w:rPr>
          <w:rStyle w:val="Brak"/>
          <w:rFonts w:ascii="Bookman Old Style" w:hAnsi="Bookman Old Style"/>
        </w:rPr>
        <w:t>wpisów do ksiąg wieczystych, mając na uwadze konieczność zapewnienia bezpieczeństwa wpisów w księgach wieczystych.”.</w:t>
      </w:r>
    </w:p>
    <w:p w14:paraId="5E1D7C52" w14:textId="77777777" w:rsidR="0037787E" w:rsidRPr="00C62B29" w:rsidRDefault="0037787E" w:rsidP="00E47EAC">
      <w:pPr>
        <w:suppressAutoHyphens/>
        <w:ind w:firstLine="567"/>
        <w:jc w:val="both"/>
        <w:rPr>
          <w:rFonts w:ascii="Bookman Old Style" w:hAnsi="Bookman Old Style"/>
        </w:rPr>
      </w:pPr>
    </w:p>
    <w:p w14:paraId="2C372BBC" w14:textId="77777777" w:rsidR="00D73C1B" w:rsidRPr="00C62B29" w:rsidRDefault="00D73C1B" w:rsidP="001049D3">
      <w:pPr>
        <w:numPr>
          <w:ilvl w:val="0"/>
          <w:numId w:val="5"/>
        </w:numPr>
        <w:suppressAutoHyphens/>
        <w:spacing w:line="276" w:lineRule="auto"/>
        <w:jc w:val="both"/>
        <w:rPr>
          <w:rFonts w:ascii="Bookman Old Style" w:hAnsi="Bookman Old Style" w:cs="Arial"/>
          <w:b/>
          <w:spacing w:val="4"/>
          <w:sz w:val="28"/>
          <w:szCs w:val="28"/>
        </w:rPr>
      </w:pPr>
      <w:r w:rsidRPr="00C62B29">
        <w:rPr>
          <w:rFonts w:ascii="Bookman Old Style" w:hAnsi="Bookman Old Style" w:cs="Arial"/>
          <w:b/>
          <w:spacing w:val="4"/>
          <w:sz w:val="28"/>
          <w:szCs w:val="28"/>
        </w:rPr>
        <w:t>odnośnie art. 1 pkt 22) w zakresie notarialnych nakazów zapłaty:</w:t>
      </w:r>
    </w:p>
    <w:p w14:paraId="5B958BE2"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Na wstępie należy zacząć od przypomnienia, że proponowane rozwiązanie w przedmiocie wprowadzenia instytucji notarialnych nakazów zapłaty nie jest nowe. Dyskusja, w następstwie której zostały przez środowisko notarialne przedłożone propozycje legislacyjne</w:t>
      </w:r>
      <w:r w:rsidR="006F0E1A" w:rsidRPr="00C62B29">
        <w:rPr>
          <w:rFonts w:ascii="Bookman Old Style" w:hAnsi="Bookman Old Style"/>
        </w:rPr>
        <w:t>,</w:t>
      </w:r>
      <w:r w:rsidRPr="00C62B29">
        <w:rPr>
          <w:rFonts w:ascii="Bookman Old Style" w:hAnsi="Bookman Old Style"/>
        </w:rPr>
        <w:t xml:space="preserve"> prowadzona była przed kilkunastoma latami. </w:t>
      </w:r>
    </w:p>
    <w:p w14:paraId="13244CF9"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Celem proponowanej ustawy jest radykalne przyspieszenie postępowania zmierzającego do uzyskania przez wierzyciela tytułu uprawniającego do egzekucji oraz odciążenie sądów od spraw drobnych, nieskomplikowanych pod względem prawnym, które mogą być rozpatrywane przez notariusza wykonującego zadania z zakresu ochrony prawnej. </w:t>
      </w:r>
    </w:p>
    <w:p w14:paraId="72A9A733"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Trzeba wskazać, że zjawisko polegające na unikaniu płatności z tytułu zobowiązań cywilnoprawnych i przewlekłość postępowań sądowych może być prawdziwym problemem, zwłaszcza dla małych gospodarstw domowych i mniejszych przedsiębiorców. Dlatego</w:t>
      </w:r>
      <w:r w:rsidR="006F0E1A" w:rsidRPr="00C62B29">
        <w:rPr>
          <w:rFonts w:ascii="Bookman Old Style" w:hAnsi="Bookman Old Style"/>
        </w:rPr>
        <w:t xml:space="preserve"> </w:t>
      </w:r>
      <w:r w:rsidRPr="00C62B29">
        <w:rPr>
          <w:rFonts w:ascii="Bookman Old Style" w:hAnsi="Bookman Old Style"/>
        </w:rPr>
        <w:t xml:space="preserve">też czas, w jakim wierzyciel jest w stanie uzyskać tytuł egzekucyjny (wyrok, nakaz zapłaty, itd.), a następnie okres, jaki jest niezbędny do skutecznego wyegzekwowania zasądzonej należności, może niejednokrotnie zaważyć </w:t>
      </w:r>
      <w:r w:rsidR="004B42FC" w:rsidRPr="00C62B29">
        <w:rPr>
          <w:rFonts w:ascii="Bookman Old Style" w:hAnsi="Bookman Old Style"/>
        </w:rPr>
        <w:t>o</w:t>
      </w:r>
      <w:r w:rsidRPr="00C62B29">
        <w:rPr>
          <w:rFonts w:ascii="Bookman Old Style" w:hAnsi="Bookman Old Style"/>
        </w:rPr>
        <w:t xml:space="preserve"> istotnych sprawach rodziny </w:t>
      </w:r>
      <w:r w:rsidR="004B42FC" w:rsidRPr="00C62B29">
        <w:rPr>
          <w:rFonts w:ascii="Bookman Old Style" w:hAnsi="Bookman Old Style"/>
        </w:rPr>
        <w:t>lub</w:t>
      </w:r>
      <w:r w:rsidRPr="00C62B29">
        <w:rPr>
          <w:rFonts w:ascii="Bookman Old Style" w:hAnsi="Bookman Old Style"/>
        </w:rPr>
        <w:t xml:space="preserve"> też przesądzić o zachowaniu płynności finansowej firmy, a nawet o jej dalszym funkcjonowaniu.</w:t>
      </w:r>
    </w:p>
    <w:p w14:paraId="718038F3"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Obowiązkiem Państwa jest zapewnienie możliwości skutecznego i szybkiego dochodzenia należności. W obecnym stanie prawnym istnieje wprawdzie możliwość skorzystania </w:t>
      </w:r>
      <w:r w:rsidR="006F0E1A" w:rsidRPr="00C62B29">
        <w:rPr>
          <w:rFonts w:ascii="Bookman Old Style" w:hAnsi="Bookman Old Style"/>
        </w:rPr>
        <w:t xml:space="preserve">z </w:t>
      </w:r>
      <w:r w:rsidRPr="00C62B29">
        <w:rPr>
          <w:rFonts w:ascii="Bookman Old Style" w:hAnsi="Bookman Old Style"/>
        </w:rPr>
        <w:t>elektronicznego postępowania upominawczego, jednakże jest to droga wykorzystywana przez duże organizmy gospodarcze. Osoby fizyczne z tego typu postępowania korzystają rzadziej. Należy zatem rozważyć kolejną</w:t>
      </w:r>
      <w:r w:rsidR="006F0E1A" w:rsidRPr="00C62B29">
        <w:rPr>
          <w:rFonts w:ascii="Bookman Old Style" w:hAnsi="Bookman Old Style"/>
        </w:rPr>
        <w:t>,</w:t>
      </w:r>
      <w:r w:rsidRPr="00C62B29">
        <w:rPr>
          <w:rFonts w:ascii="Bookman Old Style" w:hAnsi="Bookman Old Style"/>
        </w:rPr>
        <w:t xml:space="preserve"> inną niż sądowa</w:t>
      </w:r>
      <w:r w:rsidR="006F0E1A" w:rsidRPr="00C62B29">
        <w:rPr>
          <w:rFonts w:ascii="Bookman Old Style" w:hAnsi="Bookman Old Style"/>
        </w:rPr>
        <w:t>,</w:t>
      </w:r>
      <w:r w:rsidRPr="00C62B29">
        <w:rPr>
          <w:rFonts w:ascii="Bookman Old Style" w:hAnsi="Bookman Old Style"/>
        </w:rPr>
        <w:t xml:space="preserve"> drogę dochodzenia roszczeń. Taką możliwość przewiduje </w:t>
      </w:r>
      <w:r w:rsidR="005238B3" w:rsidRPr="00C62B29">
        <w:rPr>
          <w:rFonts w:ascii="Bookman Old Style" w:hAnsi="Bookman Old Style"/>
        </w:rPr>
        <w:t>Projekt</w:t>
      </w:r>
      <w:r w:rsidRPr="00C62B29">
        <w:rPr>
          <w:rFonts w:ascii="Bookman Old Style" w:hAnsi="Bookman Old Style"/>
        </w:rPr>
        <w:t xml:space="preserve"> i należy go co do zasady pozytywnie ocenić. W tym względzie nie ma żadnych przeszkód, aby wierzyciel miał możliwość wyboru sposobu dochodzenia roszczeń. Może on</w:t>
      </w:r>
      <w:r w:rsidR="004B42FC" w:rsidRPr="00C62B29">
        <w:rPr>
          <w:rFonts w:ascii="Bookman Old Style" w:hAnsi="Bookman Old Style"/>
        </w:rPr>
        <w:t>,</w:t>
      </w:r>
      <w:r w:rsidRPr="00C62B29">
        <w:rPr>
          <w:rFonts w:ascii="Bookman Old Style" w:hAnsi="Bookman Old Style"/>
        </w:rPr>
        <w:t xml:space="preserve"> według swej woli</w:t>
      </w:r>
      <w:r w:rsidR="004B42FC" w:rsidRPr="00C62B29">
        <w:rPr>
          <w:rFonts w:ascii="Bookman Old Style" w:hAnsi="Bookman Old Style"/>
        </w:rPr>
        <w:t>,</w:t>
      </w:r>
      <w:r w:rsidRPr="00C62B29">
        <w:rPr>
          <w:rFonts w:ascii="Bookman Old Style" w:hAnsi="Bookman Old Style"/>
        </w:rPr>
        <w:t xml:space="preserve"> wystąpić do sądu. Może też w przewidzianym przez </w:t>
      </w:r>
      <w:r w:rsidR="005238B3" w:rsidRPr="00C62B29">
        <w:rPr>
          <w:rFonts w:ascii="Bookman Old Style" w:hAnsi="Bookman Old Style"/>
        </w:rPr>
        <w:t>P</w:t>
      </w:r>
      <w:r w:rsidRPr="00C62B29">
        <w:rPr>
          <w:rFonts w:ascii="Bookman Old Style" w:hAnsi="Bookman Old Style"/>
        </w:rPr>
        <w:t xml:space="preserve">rojekt zakresie skorzystać z postępowania notarialnego. Nie przesądzając ostatecznego stanowiska wydaje się, że przedłożona propozycja ustawodawcza będzie adresowana do osób fizycznych oraz średnich lub małych przedsiębiorców. </w:t>
      </w:r>
    </w:p>
    <w:p w14:paraId="5F15B1FE"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Zgodnie z </w:t>
      </w:r>
      <w:r w:rsidR="005238B3" w:rsidRPr="00C62B29">
        <w:rPr>
          <w:rFonts w:ascii="Bookman Old Style" w:hAnsi="Bookman Old Style"/>
        </w:rPr>
        <w:t>P</w:t>
      </w:r>
      <w:r w:rsidRPr="00C62B29">
        <w:rPr>
          <w:rFonts w:ascii="Bookman Old Style" w:hAnsi="Bookman Old Style"/>
        </w:rPr>
        <w:t>rojektem postępowanie notarialne będzie zupełnie nowym, odrębnym post</w:t>
      </w:r>
      <w:r w:rsidR="005238B3" w:rsidRPr="00C62B29">
        <w:rPr>
          <w:rFonts w:ascii="Bookman Old Style" w:hAnsi="Bookman Old Style"/>
        </w:rPr>
        <w:t>ę</w:t>
      </w:r>
      <w:r w:rsidRPr="00C62B29">
        <w:rPr>
          <w:rFonts w:ascii="Bookman Old Style" w:hAnsi="Bookman Old Style"/>
        </w:rPr>
        <w:t xml:space="preserve">powaniem, niezależnym od postępowania sądowego o wydanie nakazu zapłaty, prowadzonego w trybie postępowania upominawczego czy </w:t>
      </w:r>
      <w:r w:rsidRPr="00C62B29">
        <w:rPr>
          <w:rFonts w:ascii="Bookman Old Style" w:hAnsi="Bookman Old Style"/>
        </w:rPr>
        <w:lastRenderedPageBreak/>
        <w:t xml:space="preserve">nakazowego. Jego skutkiem będzie uzyskanie tytułu uprawniającego do egzekucji po nadaniu klauzuli wykonalności. Ustawa zatem daje wierzycielowi możliwość wyboru i uzyskania tytułu do egzekucji albo w postępowaniu sądowym, albo w postępowaniu notarialnym. </w:t>
      </w:r>
    </w:p>
    <w:p w14:paraId="5E5A56E1" w14:textId="0C79F5BD"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Projekt zakłada, że post</w:t>
      </w:r>
      <w:r w:rsidR="00DB7309" w:rsidRPr="00C62B29">
        <w:rPr>
          <w:rFonts w:ascii="Bookman Old Style" w:hAnsi="Bookman Old Style"/>
        </w:rPr>
        <w:t>ę</w:t>
      </w:r>
      <w:r w:rsidRPr="00C62B29">
        <w:rPr>
          <w:rFonts w:ascii="Bookman Old Style" w:hAnsi="Bookman Old Style"/>
        </w:rPr>
        <w:t>powanie notarialne obejmować będzie sprawy o najmniejszym skomplikowaniu pod względem prawnym, gdzie dłużnik naj</w:t>
      </w:r>
      <w:r w:rsidR="00DB7309" w:rsidRPr="00C62B29">
        <w:rPr>
          <w:rFonts w:ascii="Bookman Old Style" w:hAnsi="Bookman Old Style"/>
        </w:rPr>
        <w:t>częściej, tak</w:t>
      </w:r>
      <w:r w:rsidRPr="00C62B29">
        <w:rPr>
          <w:rFonts w:ascii="Bookman Old Style" w:hAnsi="Bookman Old Style"/>
        </w:rPr>
        <w:t xml:space="preserve"> jak to jest w sądowym postępowaniu upominawczym nie kwestionuje istnienia należności. W postępowaniu tym większość wydanych nakazów zapłaty </w:t>
      </w:r>
      <w:r w:rsidR="00A910BA" w:rsidRPr="00C62B29">
        <w:rPr>
          <w:rFonts w:ascii="Bookman Old Style" w:hAnsi="Bookman Old Style"/>
        </w:rPr>
        <w:t>uprawomocnia</w:t>
      </w:r>
      <w:r w:rsidRPr="00C62B29">
        <w:rPr>
          <w:rFonts w:ascii="Bookman Old Style" w:hAnsi="Bookman Old Style"/>
        </w:rPr>
        <w:t xml:space="preserve"> się, gdyż pozwani nie wnoszą środków odwoławczych. Można przyjąć, że w dużej mierze ma to związek z tym, że dłużnicy zgadzają się z treścią rozstrzygnięć. W efekcie przekazanie tych spraw notariuszom znacznie odciąży sądy i wpłynie na skrócenie post</w:t>
      </w:r>
      <w:r w:rsidR="00DB7309" w:rsidRPr="00C62B29">
        <w:rPr>
          <w:rFonts w:ascii="Bookman Old Style" w:hAnsi="Bookman Old Style"/>
        </w:rPr>
        <w:t>ę</w:t>
      </w:r>
      <w:r w:rsidRPr="00C62B29">
        <w:rPr>
          <w:rFonts w:ascii="Bookman Old Style" w:hAnsi="Bookman Old Style"/>
        </w:rPr>
        <w:t xml:space="preserve">powań w innych sprawach. </w:t>
      </w:r>
    </w:p>
    <w:p w14:paraId="4AC3EE5F" w14:textId="6EC83C0D" w:rsidR="00D73C1B" w:rsidRPr="00C62B29" w:rsidRDefault="00A910BA" w:rsidP="001049D3">
      <w:pPr>
        <w:suppressAutoHyphens/>
        <w:spacing w:line="360" w:lineRule="auto"/>
        <w:ind w:firstLine="567"/>
        <w:jc w:val="both"/>
        <w:rPr>
          <w:rFonts w:ascii="Bookman Old Style" w:hAnsi="Bookman Old Style"/>
        </w:rPr>
      </w:pPr>
      <w:r w:rsidRPr="00C62B29">
        <w:rPr>
          <w:rFonts w:ascii="Bookman Old Style" w:hAnsi="Bookman Old Style"/>
        </w:rPr>
        <w:t>Notariusze</w:t>
      </w:r>
      <w:r w:rsidR="00D73C1B" w:rsidRPr="00C62B29">
        <w:rPr>
          <w:rFonts w:ascii="Bookman Old Style" w:hAnsi="Bookman Old Style"/>
        </w:rPr>
        <w:t xml:space="preserve"> jako osoby zaufania publicznego, osoby bezstronne, posiadające odpowiednie wykształcenie, predysponowani są do powierzenia im prawa wydawania nakazów zapłaty w sytuacji, gdy zachowanie zasady sądowego wymiaru sprawiedliwości nie jest konieczne. </w:t>
      </w:r>
    </w:p>
    <w:p w14:paraId="599C9D49" w14:textId="77B75266"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Projektowana zmiana przewiduje, że każdy będzie miał prawo wystąpić o wydanie nakazu zapłaty według swojego uznania bądź do </w:t>
      </w:r>
      <w:r w:rsidR="00E94473" w:rsidRPr="00C62B29">
        <w:rPr>
          <w:rFonts w:ascii="Bookman Old Style" w:hAnsi="Bookman Old Style"/>
        </w:rPr>
        <w:t>sądu,</w:t>
      </w:r>
      <w:r w:rsidRPr="00C62B29">
        <w:rPr>
          <w:rFonts w:ascii="Bookman Old Style" w:hAnsi="Bookman Old Style"/>
        </w:rPr>
        <w:t xml:space="preserve"> bądź do notariusza. Postępowanie po (ewentualnym) wniesieniu sprzeciwu może się toczyć na obecnych zasadach i w tym zakresie składana propozycja nie wnosi zmian. </w:t>
      </w:r>
    </w:p>
    <w:p w14:paraId="684ACD23"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Tego rodzaju założenie legislacyjne nie narusza zasady sądowego wymiaru sprawiedliwości. Powierzanie czynności, z zakresu szeroko rozumianej "ochrony prawnej", podmiotom innym niż sądy jest rozwiązaniem powszechnie akceptowanym. </w:t>
      </w:r>
    </w:p>
    <w:p w14:paraId="18ACACD5"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Wynika to z faktu, że dopó</w:t>
      </w:r>
      <w:r w:rsidR="00146109" w:rsidRPr="00C62B29">
        <w:rPr>
          <w:rFonts w:ascii="Bookman Old Style" w:hAnsi="Bookman Old Style"/>
        </w:rPr>
        <w:t>ty</w:t>
      </w:r>
      <w:r w:rsidRPr="00C62B29">
        <w:rPr>
          <w:rFonts w:ascii="Bookman Old Style" w:hAnsi="Bookman Old Style"/>
        </w:rPr>
        <w:t xml:space="preserve"> strona może zakwestionować samo roszczenie wierzyciela, które jest podstawą egzekucji, dopó</w:t>
      </w:r>
      <w:r w:rsidR="00146109" w:rsidRPr="00C62B29">
        <w:rPr>
          <w:rFonts w:ascii="Bookman Old Style" w:hAnsi="Bookman Old Style"/>
        </w:rPr>
        <w:t>ki</w:t>
      </w:r>
      <w:r w:rsidRPr="00C62B29">
        <w:rPr>
          <w:rFonts w:ascii="Bookman Old Style" w:hAnsi="Bookman Old Style"/>
        </w:rPr>
        <w:t xml:space="preserve"> nie można uwzględnić zarzutu naruszenia zasady sądowego wymiaru sprawiedliwości i braku prawa do sądu. Prawo to może się realizować w różnych formach, nie istnieje bowiem jeden idealny model postępowania sądowego, który musiałby być powielany we wszystkich kategoriach spraw rozpoznawanych przez organy wymiaru sprawiedliwości. Gwarancje konstytucyjne zakazują zamykania drogi do sądu oraz wymagają respektowania podstawowych, uniwersalnych </w:t>
      </w:r>
      <w:r w:rsidRPr="00C62B29">
        <w:rPr>
          <w:rFonts w:ascii="Bookman Old Style" w:hAnsi="Bookman Old Style"/>
        </w:rPr>
        <w:lastRenderedPageBreak/>
        <w:t xml:space="preserve">elementów postępowania, od których zależy możliwość wydania sprawiedliwego rozstrzygnięcia. Jednocześnie jednak w ramach tych gwarancji należy mieć na względzie także efektywność i szybkość postępowania. Ta ostatnia wartość może być osiągnięta przez uproszczenie czy skrócenie procedur, a więc rezygnacji z pewnych instrumentów ochronnych i dodatkowych gwarancji procesowych, zwłaszcza w sprawach drobnych i o nieskomplikowanym charakterze. Zawsze jednak w tych wypadkach (uproszczonych postępowań) osoby zainteresowane muszą mieć zagwarantowane prawo wystąpienia z odwołaniem do niezawisłego sądu. W tym zakresie projekt ustawy tego rodzaju gwarancje przewiduje, skoro skutkiem wniesienia sprzeciwu jest utrata mocy obowiązującej nakazu. Warto przypomnieć też, że podobna dyskusja toczyła się w związku z przekazaniem spraw sądowych do rozstrzygnięcia referendarzom sądowym. </w:t>
      </w:r>
    </w:p>
    <w:p w14:paraId="336F172F"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W tym zakresie ustawodawca przesądził już, że wydanie nakazu zapłaty w postępowaniu upominawczym jest zadaniem z zakresu ochrony prawnej.  Analogicznie, wprowadzenie instytucji notarialnego nakazu zapłaty w odrębnym, niezależnym od sądowego postępowaniu notarialnym jest propozycją dającą się pogodzić z konstytucyjnymi zasadami sądowego wymiaru sprawiedliwości i prawa do sądu. Przecież </w:t>
      </w:r>
      <w:r w:rsidR="00146109" w:rsidRPr="00C62B29">
        <w:rPr>
          <w:rFonts w:ascii="Bookman Old Style" w:hAnsi="Bookman Old Style"/>
        </w:rPr>
        <w:t xml:space="preserve">w </w:t>
      </w:r>
      <w:r w:rsidRPr="00C62B29">
        <w:rPr>
          <w:rFonts w:ascii="Bookman Old Style" w:hAnsi="Bookman Old Style"/>
        </w:rPr>
        <w:t>postępowaniu upominawczym referendarz jest zwolniony od obowiązku badania czy dochodzone roszczenie jest udowodnione przy pomocy wyszczególnionych dokumentów. Referendarz może ograniczyć się do zbadania czy twierdzenia prawne i faktyczne nie budzą poważnych wątpliwości (oraz czy nie ma przeszkód formalnych do uwzględnienia powództwa).</w:t>
      </w:r>
    </w:p>
    <w:p w14:paraId="47D93B91" w14:textId="00B3C6B3"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Podsumowując zatem stwierdzić należy, że proponowane rozwiązania są w pełni zgodne z </w:t>
      </w:r>
      <w:r w:rsidR="00DB7309" w:rsidRPr="00C62B29">
        <w:rPr>
          <w:rFonts w:ascii="Bookman Old Style" w:hAnsi="Bookman Old Style"/>
        </w:rPr>
        <w:t>K</w:t>
      </w:r>
      <w:r w:rsidRPr="00C62B29">
        <w:rPr>
          <w:rFonts w:ascii="Bookman Old Style" w:hAnsi="Bookman Old Style"/>
        </w:rPr>
        <w:t>onstytucją</w:t>
      </w:r>
      <w:r w:rsidR="00DB7309" w:rsidRPr="00C62B29">
        <w:rPr>
          <w:rFonts w:ascii="Bookman Old Style" w:hAnsi="Bookman Old Style"/>
        </w:rPr>
        <w:t xml:space="preserve"> RP</w:t>
      </w:r>
      <w:r w:rsidRPr="00C62B29">
        <w:rPr>
          <w:rFonts w:ascii="Bookman Old Style" w:hAnsi="Bookman Old Style"/>
        </w:rPr>
        <w:t xml:space="preserve">. Obywatel nadal będzie miał prawo, w </w:t>
      </w:r>
      <w:r w:rsidR="00A910BA" w:rsidRPr="00C62B29">
        <w:rPr>
          <w:rFonts w:ascii="Bookman Old Style" w:hAnsi="Bookman Old Style"/>
        </w:rPr>
        <w:t>przypadku,</w:t>
      </w:r>
      <w:r w:rsidRPr="00C62B29">
        <w:rPr>
          <w:rFonts w:ascii="Bookman Old Style" w:hAnsi="Bookman Old Style"/>
        </w:rPr>
        <w:t xml:space="preserve"> gdy uzna wydanie nakazu zapłaty za niezasadne, do złożenia sprzeciwu i „unicestwienia” skutków prawnych jego wydania. Jak wskazano</w:t>
      </w:r>
      <w:r w:rsidR="00146109" w:rsidRPr="00C62B29">
        <w:rPr>
          <w:rFonts w:ascii="Bookman Old Style" w:hAnsi="Bookman Old Style"/>
        </w:rPr>
        <w:t>,</w:t>
      </w:r>
      <w:r w:rsidRPr="00C62B29">
        <w:rPr>
          <w:rFonts w:ascii="Bookman Old Style" w:hAnsi="Bookman Old Style"/>
        </w:rPr>
        <w:t xml:space="preserve"> skuteczne wniesienie sprzeciwu spowoduje utratę mocy prawnej wydanego nakazu. </w:t>
      </w:r>
    </w:p>
    <w:p w14:paraId="73CF0D2D"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Warto w tym miejscu zwrócić uwagę, że notariuszom zostało powierzone uprawnienie do wydawania aktów poświadczenia dziedziczenia mających ten sam skutek, co wydawane tradycyjnie przez sądy postanowienia o stwierdzeniu nabycia spadku. Tym samym przyjęcie przedłożonego </w:t>
      </w:r>
      <w:r w:rsidR="00DB7309" w:rsidRPr="00C62B29">
        <w:rPr>
          <w:rFonts w:ascii="Bookman Old Style" w:hAnsi="Bookman Old Style"/>
        </w:rPr>
        <w:t>Pr</w:t>
      </w:r>
      <w:r w:rsidRPr="00C62B29">
        <w:rPr>
          <w:rFonts w:ascii="Bookman Old Style" w:hAnsi="Bookman Old Style"/>
        </w:rPr>
        <w:t xml:space="preserve">ojektu </w:t>
      </w:r>
      <w:r w:rsidRPr="00C62B29">
        <w:rPr>
          <w:rFonts w:ascii="Bookman Old Style" w:hAnsi="Bookman Old Style"/>
        </w:rPr>
        <w:lastRenderedPageBreak/>
        <w:t>stanowiłoby kolejny krok w kierunku przekazywania notariuszom czynności dokonywanych dotychczas przez sądy.</w:t>
      </w:r>
    </w:p>
    <w:p w14:paraId="69397FF1" w14:textId="77777777" w:rsidR="00D73C1B" w:rsidRPr="00C62B29" w:rsidRDefault="00D73C1B" w:rsidP="001049D3">
      <w:pPr>
        <w:suppressAutoHyphens/>
        <w:spacing w:line="360" w:lineRule="auto"/>
        <w:ind w:firstLine="567"/>
        <w:jc w:val="both"/>
        <w:rPr>
          <w:rFonts w:ascii="Bookman Old Style" w:hAnsi="Bookman Old Style"/>
        </w:rPr>
      </w:pPr>
      <w:r w:rsidRPr="00C62B29">
        <w:rPr>
          <w:rFonts w:ascii="Bookman Old Style" w:hAnsi="Bookman Old Style"/>
        </w:rPr>
        <w:t>Proponowane zmiany mogą przynieść jedynie pozytywne skutki, które można streścić w następujących punktach:</w:t>
      </w:r>
    </w:p>
    <w:p w14:paraId="5DEE1F7C" w14:textId="77777777" w:rsidR="00D73C1B" w:rsidRPr="00C62B29" w:rsidRDefault="00D73C1B" w:rsidP="001049D3">
      <w:pPr>
        <w:suppressAutoHyphens/>
        <w:spacing w:line="360" w:lineRule="auto"/>
        <w:jc w:val="both"/>
        <w:rPr>
          <w:rFonts w:ascii="Bookman Old Style" w:hAnsi="Bookman Old Style"/>
        </w:rPr>
      </w:pPr>
      <w:r w:rsidRPr="00C62B29">
        <w:rPr>
          <w:rFonts w:ascii="Bookman Old Style" w:hAnsi="Bookman Old Style"/>
        </w:rPr>
        <w:t>1/ odciążanie sądów (sędziów, referendarzy) od załatwiania spraw drobnych, nieskomplikowanych prawnie;</w:t>
      </w:r>
    </w:p>
    <w:p w14:paraId="133AB735" w14:textId="6E960425" w:rsidR="00D73C1B" w:rsidRPr="00C62B29" w:rsidRDefault="00D73C1B" w:rsidP="001049D3">
      <w:pPr>
        <w:suppressAutoHyphens/>
        <w:spacing w:line="360" w:lineRule="auto"/>
        <w:jc w:val="both"/>
        <w:rPr>
          <w:rFonts w:ascii="Bookman Old Style" w:hAnsi="Bookman Old Style"/>
        </w:rPr>
      </w:pPr>
      <w:r w:rsidRPr="00C62B29">
        <w:rPr>
          <w:rFonts w:ascii="Bookman Old Style" w:hAnsi="Bookman Old Style"/>
        </w:rPr>
        <w:t xml:space="preserve">2/ przyspieszenie wydawania nakazów zapłaty w postępowaniu notarialnym co </w:t>
      </w:r>
      <w:r w:rsidR="00A910BA" w:rsidRPr="00C62B29">
        <w:rPr>
          <w:rFonts w:ascii="Bookman Old Style" w:hAnsi="Bookman Old Style"/>
        </w:rPr>
        <w:t>niekiedy uniemożliwiałoby</w:t>
      </w:r>
      <w:r w:rsidRPr="00C62B29">
        <w:rPr>
          <w:rFonts w:ascii="Bookman Old Style" w:hAnsi="Bookman Old Style"/>
        </w:rPr>
        <w:t xml:space="preserve"> nieuczciwym dłużnikom ukrywanie majątków;</w:t>
      </w:r>
    </w:p>
    <w:p w14:paraId="4E9339F4" w14:textId="77777777" w:rsidR="00D73C1B" w:rsidRPr="00C62B29" w:rsidRDefault="00D73C1B" w:rsidP="001049D3">
      <w:pPr>
        <w:suppressAutoHyphens/>
        <w:spacing w:line="360" w:lineRule="auto"/>
        <w:jc w:val="both"/>
        <w:rPr>
          <w:rFonts w:ascii="Bookman Old Style" w:hAnsi="Bookman Old Style"/>
        </w:rPr>
      </w:pPr>
      <w:r w:rsidRPr="00C62B29">
        <w:rPr>
          <w:rFonts w:ascii="Bookman Old Style" w:hAnsi="Bookman Old Style"/>
        </w:rPr>
        <w:t>3/ przyspieszenie wydawania rozstrzygnięć przez sądy w sprawach skomplikowanych, innych niż nakazy zapłaty</w:t>
      </w:r>
      <w:r w:rsidR="00146109" w:rsidRPr="00C62B29">
        <w:rPr>
          <w:rFonts w:ascii="Bookman Old Style" w:hAnsi="Bookman Old Style"/>
        </w:rPr>
        <w:t>.</w:t>
      </w:r>
    </w:p>
    <w:p w14:paraId="6A2AD830" w14:textId="77777777" w:rsidR="00865804" w:rsidRDefault="00865804" w:rsidP="001049D3">
      <w:pPr>
        <w:suppressAutoHyphens/>
        <w:spacing w:line="360" w:lineRule="auto"/>
        <w:ind w:left="567"/>
        <w:jc w:val="both"/>
        <w:rPr>
          <w:rFonts w:ascii="Bookman Old Style" w:hAnsi="Bookman Old Style"/>
          <w:b/>
        </w:rPr>
      </w:pPr>
    </w:p>
    <w:p w14:paraId="01232D58" w14:textId="6860F1D8" w:rsidR="00D73C1B" w:rsidRPr="00C62B29" w:rsidRDefault="00D73C1B" w:rsidP="001049D3">
      <w:pPr>
        <w:suppressAutoHyphens/>
        <w:spacing w:line="360" w:lineRule="auto"/>
        <w:ind w:left="567"/>
        <w:jc w:val="both"/>
        <w:rPr>
          <w:rFonts w:ascii="Bookman Old Style" w:hAnsi="Bookman Old Style"/>
          <w:b/>
        </w:rPr>
      </w:pPr>
      <w:r w:rsidRPr="00C62B29">
        <w:rPr>
          <w:rFonts w:ascii="Bookman Old Style" w:hAnsi="Bookman Old Style"/>
          <w:b/>
        </w:rPr>
        <w:t xml:space="preserve">Uwagi szczegółowe. </w:t>
      </w:r>
    </w:p>
    <w:p w14:paraId="3D8F4B6E" w14:textId="77777777" w:rsidR="00D73C1B"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1)</w:t>
      </w:r>
      <w:r w:rsidRPr="00C62B29">
        <w:rPr>
          <w:rFonts w:ascii="Bookman Old Style" w:hAnsi="Bookman Old Style"/>
        </w:rPr>
        <w:t xml:space="preserve"> </w:t>
      </w:r>
      <w:r w:rsidR="00D73C1B" w:rsidRPr="00C62B29">
        <w:rPr>
          <w:rFonts w:ascii="Bookman Old Style" w:hAnsi="Bookman Old Style"/>
        </w:rPr>
        <w:t xml:space="preserve">Istotą </w:t>
      </w:r>
      <w:r w:rsidR="00DB7309" w:rsidRPr="00C62B29">
        <w:rPr>
          <w:rFonts w:ascii="Bookman Old Style" w:hAnsi="Bookman Old Style"/>
        </w:rPr>
        <w:t>P</w:t>
      </w:r>
      <w:r w:rsidR="00D73C1B" w:rsidRPr="00C62B29">
        <w:rPr>
          <w:rFonts w:ascii="Bookman Old Style" w:hAnsi="Bookman Old Style"/>
        </w:rPr>
        <w:t>rojektu jest możliwość szybkiego wdrożenia egzekucji wobec dłużnika oraz wydawanie nakazów nadających się do egzekucji. W tym zakresie w celu uniknięcia wątpliwości co do charakteru notarialnego nakazu zapłaty nal</w:t>
      </w:r>
      <w:r w:rsidR="00DB7309" w:rsidRPr="00C62B29">
        <w:rPr>
          <w:rFonts w:ascii="Bookman Old Style" w:hAnsi="Bookman Old Style"/>
        </w:rPr>
        <w:t xml:space="preserve">eży uzupełnić treść art. 777 § </w:t>
      </w:r>
      <w:r w:rsidR="00D73C1B" w:rsidRPr="00C62B29">
        <w:rPr>
          <w:rFonts w:ascii="Bookman Old Style" w:hAnsi="Bookman Old Style"/>
        </w:rPr>
        <w:t>1</w:t>
      </w:r>
      <w:r w:rsidR="00DB7309" w:rsidRPr="00C62B29">
        <w:rPr>
          <w:rFonts w:ascii="Bookman Old Style" w:hAnsi="Bookman Old Style"/>
        </w:rPr>
        <w:t xml:space="preserve"> k.p.c.</w:t>
      </w:r>
      <w:r w:rsidR="00D73C1B" w:rsidRPr="00C62B29">
        <w:rPr>
          <w:rFonts w:ascii="Bookman Old Style" w:hAnsi="Bookman Old Style"/>
        </w:rPr>
        <w:t xml:space="preserve"> przez dodanie punktu odnoszącego się do notarialnych nakazów zapłaty. Mają one cechy tytułu egzekucyjnego i należy to w sposób jasny przesądzić. Przewidziana regulacja w art. 105i </w:t>
      </w:r>
      <w:r w:rsidR="00DB7309" w:rsidRPr="00C62B29">
        <w:rPr>
          <w:rFonts w:ascii="Bookman Old Style" w:hAnsi="Bookman Old Style"/>
        </w:rPr>
        <w:t>P</w:t>
      </w:r>
      <w:r w:rsidR="00D73C1B" w:rsidRPr="00C62B29">
        <w:rPr>
          <w:rFonts w:ascii="Bookman Old Style" w:hAnsi="Bookman Old Style"/>
        </w:rPr>
        <w:t xml:space="preserve">rojektu tego nie przewiduje i nie jest wystarczająca. </w:t>
      </w:r>
    </w:p>
    <w:p w14:paraId="3D4D9939" w14:textId="77777777" w:rsidR="002F5EAF"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2)</w:t>
      </w:r>
      <w:r w:rsidRPr="00C62B29">
        <w:rPr>
          <w:rFonts w:ascii="Bookman Old Style" w:hAnsi="Bookman Old Style"/>
        </w:rPr>
        <w:t xml:space="preserve"> </w:t>
      </w:r>
      <w:r w:rsidR="002F5EAF" w:rsidRPr="00C62B29">
        <w:rPr>
          <w:rFonts w:ascii="Bookman Old Style" w:hAnsi="Bookman Old Style"/>
        </w:rPr>
        <w:t xml:space="preserve">Projekt przewiduje dodanie nowego rozdziału 6a „Notarialne nakazy zapłaty”, który zawiera przepisy regulujące podstawę wydania notarialnego nakazu zapłaty, jego mocy wiążącej, warunków, które muszą zostać spełnione, aby nakaz stał się tytułem wykonawczym, warunki jego zaskarżenia oraz skutki prawne wniesienia sprzeciwu od tego nakazu zapłaty. Nie jest jasne, dlaczego Projektodawca nie zdecydował się </w:t>
      </w:r>
      <w:r w:rsidR="00146109" w:rsidRPr="00C62B29">
        <w:rPr>
          <w:rFonts w:ascii="Bookman Old Style" w:hAnsi="Bookman Old Style"/>
        </w:rPr>
        <w:t>na</w:t>
      </w:r>
      <w:r w:rsidR="002F5EAF" w:rsidRPr="00C62B29">
        <w:rPr>
          <w:rFonts w:ascii="Bookman Old Style" w:hAnsi="Bookman Old Style"/>
        </w:rPr>
        <w:t xml:space="preserve"> umieszczeni</w:t>
      </w:r>
      <w:r w:rsidR="00146109" w:rsidRPr="00C62B29">
        <w:rPr>
          <w:rFonts w:ascii="Bookman Old Style" w:hAnsi="Bookman Old Style"/>
        </w:rPr>
        <w:t>e</w:t>
      </w:r>
      <w:r w:rsidR="002F5EAF" w:rsidRPr="00C62B29">
        <w:rPr>
          <w:rFonts w:ascii="Bookman Old Style" w:hAnsi="Bookman Old Style"/>
        </w:rPr>
        <w:t xml:space="preserve"> przepisów o notarialnym nakazie zapłaty w kodeksie post</w:t>
      </w:r>
      <w:r w:rsidR="00146109" w:rsidRPr="00C62B29">
        <w:rPr>
          <w:rFonts w:ascii="Bookman Old Style" w:hAnsi="Bookman Old Style"/>
        </w:rPr>
        <w:t>ę</w:t>
      </w:r>
      <w:r w:rsidR="002F5EAF" w:rsidRPr="00C62B29">
        <w:rPr>
          <w:rFonts w:ascii="Bookman Old Style" w:hAnsi="Bookman Old Style"/>
        </w:rPr>
        <w:t>powania cywilnego, w dziale V Postępowanie nakazowe i upominawcze, jako kolejn</w:t>
      </w:r>
      <w:r w:rsidR="002038CE" w:rsidRPr="00C62B29">
        <w:rPr>
          <w:rFonts w:ascii="Bookman Old Style" w:hAnsi="Bookman Old Style"/>
        </w:rPr>
        <w:t>ej</w:t>
      </w:r>
      <w:r w:rsidR="002F5EAF" w:rsidRPr="00C62B29">
        <w:rPr>
          <w:rFonts w:ascii="Bookman Old Style" w:hAnsi="Bookman Old Style"/>
        </w:rPr>
        <w:t xml:space="preserve"> odmian</w:t>
      </w:r>
      <w:r w:rsidR="002038CE" w:rsidRPr="00C62B29">
        <w:rPr>
          <w:rFonts w:ascii="Bookman Old Style" w:hAnsi="Bookman Old Style"/>
        </w:rPr>
        <w:t>y</w:t>
      </w:r>
      <w:r w:rsidR="002F5EAF" w:rsidRPr="00C62B29">
        <w:rPr>
          <w:rFonts w:ascii="Bookman Old Style" w:hAnsi="Bookman Old Style"/>
        </w:rPr>
        <w:t xml:space="preserve"> post</w:t>
      </w:r>
      <w:r w:rsidR="002038CE" w:rsidRPr="00C62B29">
        <w:rPr>
          <w:rFonts w:ascii="Bookman Old Style" w:hAnsi="Bookman Old Style"/>
        </w:rPr>
        <w:t>ę</w:t>
      </w:r>
      <w:r w:rsidR="002F5EAF" w:rsidRPr="00C62B29">
        <w:rPr>
          <w:rFonts w:ascii="Bookman Old Style" w:hAnsi="Bookman Old Style"/>
        </w:rPr>
        <w:t>powania upominawczego. Takie umiejscowienie pozwoliłoby rozwiązać szereg problemów, które obecnie występują w projekcie ustawy, wobec braku odesłań do k.p.c. poza pełnomocnictwem i epu.</w:t>
      </w:r>
    </w:p>
    <w:p w14:paraId="64FBF1FA" w14:textId="04806D5F" w:rsidR="00B73ED1" w:rsidRPr="00C62B29" w:rsidRDefault="00C6594A" w:rsidP="001049D3">
      <w:pPr>
        <w:pStyle w:val="Akapitzlist"/>
        <w:suppressAutoHyphens/>
        <w:spacing w:line="360" w:lineRule="auto"/>
        <w:ind w:left="0" w:firstLine="567"/>
        <w:jc w:val="both"/>
        <w:rPr>
          <w:rFonts w:ascii="Bookman Old Style" w:hAnsi="Bookman Old Style"/>
        </w:rPr>
      </w:pPr>
      <w:r w:rsidRPr="00C62B29">
        <w:rPr>
          <w:rFonts w:ascii="Bookman Old Style" w:hAnsi="Bookman Old Style"/>
          <w:b/>
        </w:rPr>
        <w:t>3)</w:t>
      </w:r>
      <w:r w:rsidRPr="00C62B29">
        <w:rPr>
          <w:rFonts w:ascii="Bookman Old Style" w:hAnsi="Bookman Old Style"/>
        </w:rPr>
        <w:t xml:space="preserve"> </w:t>
      </w:r>
      <w:r w:rsidR="00B73ED1" w:rsidRPr="00C62B29">
        <w:rPr>
          <w:rFonts w:ascii="Bookman Old Style" w:hAnsi="Bookman Old Style"/>
        </w:rPr>
        <w:t xml:space="preserve">Wniosek o wydanie notarialnego nakazu zapłaty będzie mógł być składany jedynie na urzędowym formularzu, określonym na podstawie rozporządzenia wydanego </w:t>
      </w:r>
      <w:r w:rsidR="002038CE" w:rsidRPr="00C62B29">
        <w:rPr>
          <w:rFonts w:ascii="Bookman Old Style" w:hAnsi="Bookman Old Style"/>
        </w:rPr>
        <w:t>p</w:t>
      </w:r>
      <w:r w:rsidR="00B73ED1" w:rsidRPr="00C62B29">
        <w:rPr>
          <w:rFonts w:ascii="Bookman Old Style" w:hAnsi="Bookman Old Style"/>
        </w:rPr>
        <w:t xml:space="preserve">rzez Ministra Sprawiedliwości na podstawie projektowanego art. 105k pr.not. Brak formy szczególnej wniosku, w postaci </w:t>
      </w:r>
      <w:r w:rsidR="00B73ED1" w:rsidRPr="00C62B29">
        <w:rPr>
          <w:rFonts w:ascii="Bookman Old Style" w:hAnsi="Bookman Old Style"/>
        </w:rPr>
        <w:lastRenderedPageBreak/>
        <w:t>wzorca z rozporządzenia MS będzie stanowiło podstawę do odmowy wydania nakazu, o czym mowa w projektowanym art. 105d § 1 pkt 3 pr.not. Podstawą odmowy wydania notarialnego nakazu zapłaty jest, między innymi, wątpliwoś</w:t>
      </w:r>
      <w:r w:rsidR="005C0BCB">
        <w:rPr>
          <w:rFonts w:ascii="Bookman Old Style" w:hAnsi="Bookman Old Style"/>
        </w:rPr>
        <w:t>ć</w:t>
      </w:r>
      <w:r w:rsidR="00B73ED1" w:rsidRPr="00C62B29">
        <w:rPr>
          <w:rFonts w:ascii="Bookman Old Style" w:hAnsi="Bookman Old Style"/>
        </w:rPr>
        <w:t xml:space="preserve"> co do zasadności roszczenia. Brak jest tu spójności z przesłankami z art. 105a § 1 pkt 1-3 pr.not, który nie posługuje się przesłanką zasadności roszczenia. Mowa jest jedynie o udowodnieniu roszczenia trzema kategoriami dokumentów. Nie ma też mowy o konieczności dokonania przez notariusza oceny „mocy dowodowej” tych dokumentów. Zatem projektowany art. 105d pr.not. wprowadza nową przesłankę wydania nakazu zapłaty przez notariusza, a mianowicie zasadność roszczenia dochodzone</w:t>
      </w:r>
      <w:r w:rsidR="002038CE" w:rsidRPr="00C62B29">
        <w:rPr>
          <w:rFonts w:ascii="Bookman Old Style" w:hAnsi="Bookman Old Style"/>
        </w:rPr>
        <w:t>go</w:t>
      </w:r>
      <w:r w:rsidR="00B73ED1" w:rsidRPr="00C62B29">
        <w:rPr>
          <w:rFonts w:ascii="Bookman Old Style" w:hAnsi="Bookman Old Style"/>
        </w:rPr>
        <w:t xml:space="preserve"> przez wnioskodawcę. Jak widać, Projektodawca wprowadził tu przesłankę odmowy wydania nakazu, jak w odniesieniu do nakazu zapłaty w postępowaniu upominawczym. </w:t>
      </w:r>
      <w:r w:rsidR="00A910BA" w:rsidRPr="00C62B29">
        <w:rPr>
          <w:rFonts w:ascii="Bookman Old Style" w:hAnsi="Bookman Old Style"/>
        </w:rPr>
        <w:t>Następnie przepis</w:t>
      </w:r>
      <w:r w:rsidR="00B73ED1" w:rsidRPr="00C62B29">
        <w:rPr>
          <w:rFonts w:ascii="Bookman Old Style" w:hAnsi="Bookman Old Style"/>
        </w:rPr>
        <w:t xml:space="preserve"> art. 105d § 1 pkt 2 pr.not. przewiduje, że podstawą odmowy wydania przez notariusza nakazu zapłaty jest także wymagalność roszczenia </w:t>
      </w:r>
      <w:r w:rsidR="00970D4A" w:rsidRPr="00C62B29">
        <w:rPr>
          <w:rFonts w:ascii="Bookman Old Style" w:hAnsi="Bookman Old Style"/>
        </w:rPr>
        <w:t>co, do</w:t>
      </w:r>
      <w:r w:rsidR="00B73ED1" w:rsidRPr="00C62B29">
        <w:rPr>
          <w:rFonts w:ascii="Bookman Old Style" w:hAnsi="Bookman Old Style"/>
        </w:rPr>
        <w:t xml:space="preserve"> którego został złożony wniosek w okresie 3 lat przed złożeniem tego wniosku. I tutaj także brak jest powiązania z tą podstawą odmowy wydania nakazu a podstawami wydania nakazu. Mamy t</w:t>
      </w:r>
      <w:r w:rsidR="002038CE" w:rsidRPr="00C62B29">
        <w:rPr>
          <w:rFonts w:ascii="Bookman Old Style" w:hAnsi="Bookman Old Style"/>
        </w:rPr>
        <w:t>u</w:t>
      </w:r>
      <w:r w:rsidR="00B73ED1" w:rsidRPr="00C62B29">
        <w:rPr>
          <w:rFonts w:ascii="Bookman Old Style" w:hAnsi="Bookman Old Style"/>
        </w:rPr>
        <w:t xml:space="preserve"> do czynienia z wykorzystaniem </w:t>
      </w:r>
      <w:r w:rsidR="002038CE" w:rsidRPr="00C62B29">
        <w:rPr>
          <w:rFonts w:ascii="Bookman Old Style" w:hAnsi="Bookman Old Style"/>
        </w:rPr>
        <w:t>art.</w:t>
      </w:r>
      <w:r w:rsidR="00B73ED1" w:rsidRPr="00C62B29">
        <w:rPr>
          <w:rFonts w:ascii="Bookman Old Style" w:hAnsi="Bookman Old Style"/>
        </w:rPr>
        <w:t xml:space="preserve">505 </w:t>
      </w:r>
      <w:r w:rsidR="001D6BD3" w:rsidRPr="00C62B29">
        <w:rPr>
          <w:rFonts w:ascii="Bookman Old Style" w:hAnsi="Bookman Old Style"/>
          <w:vertAlign w:val="superscript"/>
        </w:rPr>
        <w:t>2</w:t>
      </w:r>
      <w:r w:rsidR="00B73ED1" w:rsidRPr="00C62B29">
        <w:rPr>
          <w:rFonts w:ascii="Bookman Old Style" w:hAnsi="Bookman Old Style"/>
          <w:vertAlign w:val="superscript"/>
        </w:rPr>
        <w:t>9a</w:t>
      </w:r>
      <w:r w:rsidR="00B73ED1" w:rsidRPr="00C62B29">
        <w:rPr>
          <w:rFonts w:ascii="Bookman Old Style" w:hAnsi="Bookman Old Style"/>
        </w:rPr>
        <w:t xml:space="preserve"> k.p.c., który dotyczy roszczeń dochodzonych w elektronicznym postępowaniu upominawczym. Przepis ten został wprowadzony do k.p.c. jedynie na potrzeby ochrony pozwanych, w elektronicznym postępowaniu upominawczym, w którym powodowie dochodzili roszczeń powstałych dużo wcześniej, i często także przedawnionych. Brak było jednak wówczas przepisów prawa cywilnego nakazujących sądowi w sprawach roszczeń dochodzonych przeciwko konsumentom uwzględnienia z urzędu upływu terminu przedawnienia</w:t>
      </w:r>
      <w:r w:rsidR="005472D6" w:rsidRPr="00C62B29">
        <w:rPr>
          <w:rFonts w:ascii="Bookman Old Style" w:hAnsi="Bookman Old Style"/>
        </w:rPr>
        <w:t xml:space="preserve">, dlatego też </w:t>
      </w:r>
      <w:r w:rsidR="00B73ED1" w:rsidRPr="00C62B29">
        <w:rPr>
          <w:rFonts w:ascii="Bookman Old Style" w:hAnsi="Bookman Old Style"/>
        </w:rPr>
        <w:t xml:space="preserve">projektowany przepis art. 105 § 1 pkt 2 pr.not. wydaje się zbędny. Projekt jednak nie reguluje kwestii, czy w sytuacji, gdy wnioskodawca domaga się wydania notarialnego nakazu zapłaty przeciwko konsumentowi, to notariusz, winien zbadać upływ terminu przedawnienia i w razie stwierdzenia przedawnienia takiego roszczenia, odmówić wydania notarialnego nakazu zapłaty. Można rozważać, czy w sytuacji stwierdzonego przedawnienia roszczenia przeciwko konsumentowi zachodzi wymieniona w art. 105d § 1 pkt 1 pr. not. wątpliwość co do zasadności roszczenia. W takim przypadku jednak notariusz ma obowiązek dokonać oceny istnienia oraz wymagalności i zaskarżalności roszczenia. </w:t>
      </w:r>
      <w:r w:rsidR="00B73ED1" w:rsidRPr="00C62B29">
        <w:rPr>
          <w:rFonts w:ascii="Bookman Old Style" w:hAnsi="Bookman Old Style"/>
        </w:rPr>
        <w:lastRenderedPageBreak/>
        <w:t xml:space="preserve">Projekt ten nie wyłącza bowiem stosowania instytucji notarialnego nakazu zapłaty jedynie do zobowiązanych nie będących konsumentami. </w:t>
      </w:r>
    </w:p>
    <w:p w14:paraId="307EEE98" w14:textId="06B497DD" w:rsidR="002F5EAF" w:rsidRPr="00C62B29" w:rsidRDefault="00B73ED1" w:rsidP="001049D3">
      <w:pPr>
        <w:suppressAutoHyphens/>
        <w:spacing w:line="360" w:lineRule="auto"/>
        <w:ind w:firstLine="567"/>
        <w:jc w:val="both"/>
        <w:rPr>
          <w:rFonts w:ascii="Bookman Old Style" w:hAnsi="Bookman Old Style"/>
        </w:rPr>
      </w:pPr>
      <w:r w:rsidRPr="00C62B29">
        <w:rPr>
          <w:rFonts w:ascii="Bookman Old Style" w:hAnsi="Bookman Old Style"/>
        </w:rPr>
        <w:t>Z proponowanego przepis</w:t>
      </w:r>
      <w:r w:rsidR="007F7BD7" w:rsidRPr="00C62B29">
        <w:rPr>
          <w:rFonts w:ascii="Bookman Old Style" w:hAnsi="Bookman Old Style"/>
        </w:rPr>
        <w:t>u</w:t>
      </w:r>
      <w:r w:rsidRPr="00C62B29">
        <w:rPr>
          <w:rFonts w:ascii="Bookman Old Style" w:hAnsi="Bookman Old Style"/>
        </w:rPr>
        <w:t xml:space="preserve"> art. 105</w:t>
      </w:r>
      <w:r w:rsidR="007F7BD7" w:rsidRPr="00C62B29">
        <w:rPr>
          <w:rFonts w:ascii="Bookman Old Style" w:hAnsi="Bookman Old Style"/>
        </w:rPr>
        <w:t xml:space="preserve"> § </w:t>
      </w:r>
      <w:r w:rsidRPr="00C62B29">
        <w:rPr>
          <w:rFonts w:ascii="Bookman Old Style" w:hAnsi="Bookman Old Style"/>
        </w:rPr>
        <w:t>2 pkt 4) wynika, że wnioskodawca lub jego pełnomocnik ma obowiązek złożyć oświadczenie, że nie jest w toku lub nie toczyła się inna sprawa o roszczenie objęte wnioskiem o wydanie notarialnego nakazu zapłaty. W przypadku, gdy oświadczenie to nie jest prawdziwe i dojdzie do wydania notarialnego nakazu zapłaty, i wnioskodawca uzyska tytuł wykonawczy, po zaopatrzeniu notarialnego nakazu zapłaty w klauzulę wykonalności, dojdzie do sytuacji występowania w obrocie prawny</w:t>
      </w:r>
      <w:r w:rsidR="00C94583" w:rsidRPr="00C62B29">
        <w:rPr>
          <w:rFonts w:ascii="Bookman Old Style" w:hAnsi="Bookman Old Style"/>
        </w:rPr>
        <w:t>m</w:t>
      </w:r>
      <w:r w:rsidRPr="00C62B29">
        <w:rPr>
          <w:rFonts w:ascii="Bookman Old Style" w:hAnsi="Bookman Old Style"/>
        </w:rPr>
        <w:t xml:space="preserve"> dwóch tytułów wykonawczych, czy odrzucenia pozwu z uwagi na </w:t>
      </w:r>
      <w:r w:rsidRPr="00C62B29">
        <w:rPr>
          <w:rFonts w:ascii="Bookman Old Style" w:hAnsi="Bookman Old Style"/>
          <w:i/>
          <w:iCs/>
        </w:rPr>
        <w:t>res iudicata</w:t>
      </w:r>
      <w:r w:rsidRPr="00C62B29">
        <w:rPr>
          <w:rFonts w:ascii="Bookman Old Style" w:hAnsi="Bookman Old Style"/>
        </w:rPr>
        <w:t xml:space="preserve"> lub </w:t>
      </w:r>
      <w:r w:rsidRPr="00C62B29">
        <w:rPr>
          <w:rFonts w:ascii="Bookman Old Style" w:hAnsi="Bookman Old Style"/>
          <w:i/>
          <w:iCs/>
        </w:rPr>
        <w:t>lis pendens</w:t>
      </w:r>
      <w:r w:rsidRPr="00C62B29">
        <w:rPr>
          <w:rFonts w:ascii="Bookman Old Style" w:hAnsi="Bookman Old Style"/>
        </w:rPr>
        <w:t xml:space="preserve">. Czy zatem takie oświadczenie dołączone do wniosku o wydanie notarialnego nakazu zapłaty skutkuje tym, że nie nastąpi </w:t>
      </w:r>
      <w:r w:rsidRPr="00C62B29">
        <w:rPr>
          <w:rFonts w:ascii="Bookman Old Style" w:hAnsi="Bookman Old Style"/>
          <w:i/>
          <w:iCs/>
        </w:rPr>
        <w:t>res iudicata</w:t>
      </w:r>
      <w:r w:rsidRPr="00C62B29">
        <w:rPr>
          <w:rFonts w:ascii="Bookman Old Style" w:hAnsi="Bookman Old Style"/>
        </w:rPr>
        <w:t xml:space="preserve">, czy </w:t>
      </w:r>
      <w:r w:rsidRPr="00C62B29">
        <w:rPr>
          <w:rFonts w:ascii="Bookman Old Style" w:hAnsi="Bookman Old Style"/>
          <w:i/>
          <w:iCs/>
        </w:rPr>
        <w:t>lis pendens</w:t>
      </w:r>
      <w:r w:rsidRPr="00C62B29">
        <w:rPr>
          <w:rFonts w:ascii="Bookman Old Style" w:hAnsi="Bookman Old Style"/>
        </w:rPr>
        <w:t>, w sytuacji, gdy z inicjatywy wnioskodawcy, czy zobowiązanego sąd prowadzi już postępowanie w przedmiocie roszczenia objętego wnioskiem, między tymi samymi stronami? Wydaje się, że na tak postawione pytanie należy odpowiedzieć przecząco. Brak jest w tej nowelizacji przepisu, który rozwiązuje taką kolizję. Wydaje się, że na podobieństwo do aktu poświadczenia dziedziczenia oraz postanowienia o stwierdzeniu nabycia spadku, pierwszeństwo winno mieć orzeczenie sądowe, a notarialny nakaz zapłaty winien być uchylony. Dotyczyć to może jedynie sytuacji, gdy nie doszło jeszcze do wszczęcia egzekucji na podstawie tytułu wykonawczego jakim się stanie notarialny nakaz zapłaty po zaopatrzeniu w klauzul</w:t>
      </w:r>
      <w:r w:rsidR="005C0BCB">
        <w:rPr>
          <w:rFonts w:ascii="Bookman Old Style" w:hAnsi="Bookman Old Style"/>
        </w:rPr>
        <w:t>ę</w:t>
      </w:r>
      <w:r w:rsidRPr="00C62B29">
        <w:rPr>
          <w:rFonts w:ascii="Bookman Old Style" w:hAnsi="Bookman Old Style"/>
        </w:rPr>
        <w:t xml:space="preserve"> wykonalności.</w:t>
      </w:r>
    </w:p>
    <w:p w14:paraId="109410D8" w14:textId="483267BB" w:rsidR="00D73C1B"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4)</w:t>
      </w:r>
      <w:r w:rsidRPr="00C62B29">
        <w:rPr>
          <w:rFonts w:ascii="Bookman Old Style" w:hAnsi="Bookman Old Style"/>
        </w:rPr>
        <w:t xml:space="preserve"> </w:t>
      </w:r>
      <w:r w:rsidR="00D73C1B" w:rsidRPr="00C62B29">
        <w:rPr>
          <w:rFonts w:ascii="Bookman Old Style" w:hAnsi="Bookman Old Style"/>
        </w:rPr>
        <w:t xml:space="preserve">Ustawa powinna przewidywać, że strona występująca o wydanie nakazu zapłaty winna wskazać numer Pesel osoby fizycznej, odpowiednio numer Regon osoby prawnej oraz jednostki organizacyjnej niebędącej osobą prawną, której ustawa przyznaje zdolność prawną, ponadto numer wpisu do Krajowego Rejestru Sądowego osoby wpisanej do tego rejestru względem której jest dochodzone roszczenie, chyba że przewiduje to wzór urzędowego formularza, który jest składany o wydanie nakazu zapłaty. </w:t>
      </w:r>
    </w:p>
    <w:p w14:paraId="1B56D6DC" w14:textId="38909CDE" w:rsidR="007F7BD7" w:rsidRPr="00C62B29" w:rsidRDefault="00C6594A" w:rsidP="001049D3">
      <w:pPr>
        <w:pStyle w:val="Akapitzlist"/>
        <w:suppressAutoHyphens/>
        <w:spacing w:line="360" w:lineRule="auto"/>
        <w:ind w:left="0" w:firstLine="567"/>
        <w:jc w:val="both"/>
        <w:rPr>
          <w:rFonts w:ascii="Bookman Old Style" w:hAnsi="Bookman Old Style"/>
        </w:rPr>
      </w:pPr>
      <w:r w:rsidRPr="00C62B29">
        <w:rPr>
          <w:rFonts w:ascii="Bookman Old Style" w:hAnsi="Bookman Old Style"/>
          <w:b/>
        </w:rPr>
        <w:t xml:space="preserve">5) </w:t>
      </w:r>
      <w:r w:rsidR="007F7BD7" w:rsidRPr="00C62B29">
        <w:rPr>
          <w:rFonts w:ascii="Bookman Old Style" w:hAnsi="Bookman Old Style"/>
        </w:rPr>
        <w:t xml:space="preserve">W braku podstaw do wydania notarialnego nakazu zapłaty, notariusz sporządza protokół o odmowie jego sporządzenia, którego odpis doręcza wnioskodawcy. Natomiast odpis samego nakazu zapłaty notariusz doręcza wnioskodawcy oraz osobie zobowiązanej </w:t>
      </w:r>
      <w:r w:rsidR="00E82CF0" w:rsidRPr="00C62B29">
        <w:rPr>
          <w:rFonts w:ascii="Bookman Old Style" w:hAnsi="Bookman Old Style"/>
        </w:rPr>
        <w:t>(dłużnikowi) za pośrednictwem</w:t>
      </w:r>
      <w:r w:rsidR="007F7BD7" w:rsidRPr="00C62B29">
        <w:rPr>
          <w:rFonts w:ascii="Bookman Old Style" w:hAnsi="Bookman Old Style"/>
        </w:rPr>
        <w:t xml:space="preserve"> operatora pocztowego, komornika sądowego, osobiście przez notariusza w </w:t>
      </w:r>
      <w:r w:rsidR="007F7BD7" w:rsidRPr="00C62B29">
        <w:rPr>
          <w:rFonts w:ascii="Bookman Old Style" w:hAnsi="Bookman Old Style"/>
        </w:rPr>
        <w:lastRenderedPageBreak/>
        <w:t>kancelarii notarialnej lub przez pracowników kancelarii notarialnej. Przepis ten budzi wątpliwości. Nie jest jasne w jakim trybie ma doręczyć nakaz zapłaty wydany przez notariusza komornik sądowy</w:t>
      </w:r>
      <w:r w:rsidR="00846424" w:rsidRPr="00C62B29">
        <w:rPr>
          <w:rFonts w:ascii="Bookman Old Style" w:hAnsi="Bookman Old Style"/>
        </w:rPr>
        <w:t xml:space="preserve"> czy w trybie </w:t>
      </w:r>
      <w:r w:rsidR="007F7BD7" w:rsidRPr="00C62B29">
        <w:rPr>
          <w:rFonts w:ascii="Bookman Old Style" w:hAnsi="Bookman Old Style"/>
        </w:rPr>
        <w:t>art. 139 § 1</w:t>
      </w:r>
      <w:r w:rsidR="00846424" w:rsidRPr="00C62B29">
        <w:rPr>
          <w:rFonts w:ascii="Bookman Old Style" w:hAnsi="Bookman Old Style"/>
          <w:vertAlign w:val="superscript"/>
        </w:rPr>
        <w:t>1</w:t>
      </w:r>
      <w:r w:rsidR="007F7BD7" w:rsidRPr="00C62B29">
        <w:rPr>
          <w:rFonts w:ascii="Bookman Old Style" w:hAnsi="Bookman Old Style"/>
        </w:rPr>
        <w:t xml:space="preserve"> i 2 k.p.c., czy według zasad określonych w </w:t>
      </w:r>
      <w:r w:rsidR="00846424" w:rsidRPr="00C62B29">
        <w:rPr>
          <w:rFonts w:ascii="Bookman Old Style" w:hAnsi="Bookman Old Style"/>
        </w:rPr>
        <w:t xml:space="preserve">art. 3a ustawy </w:t>
      </w:r>
      <w:r w:rsidR="007F7BD7" w:rsidRPr="00C62B29">
        <w:rPr>
          <w:rFonts w:ascii="Bookman Old Style" w:hAnsi="Bookman Old Style"/>
        </w:rPr>
        <w:t xml:space="preserve">o komornikach </w:t>
      </w:r>
      <w:r w:rsidR="00970D4A" w:rsidRPr="00C62B29">
        <w:rPr>
          <w:rFonts w:ascii="Bookman Old Style" w:hAnsi="Bookman Old Style"/>
        </w:rPr>
        <w:t>sądowych?</w:t>
      </w:r>
      <w:r w:rsidR="007F7BD7" w:rsidRPr="00C62B29">
        <w:rPr>
          <w:rFonts w:ascii="Bookman Old Style" w:hAnsi="Bookman Old Style"/>
        </w:rPr>
        <w:t xml:space="preserve"> Zastosowanie tego sposobu doręczenia jest zatem dopuszczalne, gdy będzie wyraźne odesłanie, w jaki sposób komornik będzie doręczał korespondencję. Uściślenie tej kwestii jest o tyle istotne, że nieodebrani</w:t>
      </w:r>
      <w:r w:rsidR="00DB56CA">
        <w:rPr>
          <w:rFonts w:ascii="Bookman Old Style" w:hAnsi="Bookman Old Style"/>
        </w:rPr>
        <w:t>e</w:t>
      </w:r>
      <w:r w:rsidR="007F7BD7" w:rsidRPr="00C62B29">
        <w:rPr>
          <w:rFonts w:ascii="Bookman Old Style" w:hAnsi="Bookman Old Style"/>
        </w:rPr>
        <w:t xml:space="preserve"> notarialnego nakazu zapłaty powoduje, że nakaz traci moc (art. 105 f par. 1 pr.not.). Pod tym pojęciem należy rozumieć sytuacje, gdy zobowiązany po prostu odmówi przyjęcia odpisu notarialnego nakazu zapłaty, nawet bez żadnego powodu. </w:t>
      </w:r>
      <w:r w:rsidR="00E82CF0" w:rsidRPr="00C62B29">
        <w:rPr>
          <w:rFonts w:ascii="Bookman Old Style" w:hAnsi="Bookman Old Style"/>
        </w:rPr>
        <w:t>N</w:t>
      </w:r>
      <w:r w:rsidR="007F7BD7" w:rsidRPr="00C62B29">
        <w:rPr>
          <w:rFonts w:ascii="Bookman Old Style" w:hAnsi="Bookman Old Style"/>
        </w:rPr>
        <w:t>atomiast</w:t>
      </w:r>
      <w:r w:rsidR="00E82CF0" w:rsidRPr="00C62B29">
        <w:rPr>
          <w:rFonts w:ascii="Bookman Old Style" w:hAnsi="Bookman Old Style"/>
        </w:rPr>
        <w:t xml:space="preserve"> przepisy</w:t>
      </w:r>
      <w:r w:rsidR="007F7BD7" w:rsidRPr="00C62B29">
        <w:rPr>
          <w:rFonts w:ascii="Bookman Old Style" w:hAnsi="Bookman Old Style"/>
        </w:rPr>
        <w:t xml:space="preserve"> o doręczeniu przez komornika s</w:t>
      </w:r>
      <w:r w:rsidR="00E82CF0" w:rsidRPr="00C62B29">
        <w:rPr>
          <w:rFonts w:ascii="Bookman Old Style" w:hAnsi="Bookman Old Style"/>
        </w:rPr>
        <w:t>ą</w:t>
      </w:r>
      <w:r w:rsidR="007F7BD7" w:rsidRPr="00C62B29">
        <w:rPr>
          <w:rFonts w:ascii="Bookman Old Style" w:hAnsi="Bookman Old Style"/>
        </w:rPr>
        <w:t>dowego mają zastosowanie na podstawie art. 139</w:t>
      </w:r>
      <w:r w:rsidR="007F7BD7" w:rsidRPr="00C62B29">
        <w:rPr>
          <w:rFonts w:ascii="Bookman Old Style" w:hAnsi="Bookman Old Style"/>
          <w:vertAlign w:val="superscript"/>
        </w:rPr>
        <w:t xml:space="preserve">1 </w:t>
      </w:r>
      <w:r w:rsidR="007F7BD7" w:rsidRPr="00C62B29">
        <w:rPr>
          <w:rFonts w:ascii="Bookman Old Style" w:hAnsi="Bookman Old Style"/>
        </w:rPr>
        <w:t>§ 1 i 2 k.p.c., w sytuacji, gdy nie doszło do doręczenia pisma podlegające</w:t>
      </w:r>
      <w:r w:rsidR="00DB56CA">
        <w:rPr>
          <w:rFonts w:ascii="Bookman Old Style" w:hAnsi="Bookman Old Style"/>
        </w:rPr>
        <w:t>go</w:t>
      </w:r>
      <w:r w:rsidR="007F7BD7" w:rsidRPr="00C62B29">
        <w:rPr>
          <w:rFonts w:ascii="Bookman Old Style" w:hAnsi="Bookman Old Style"/>
        </w:rPr>
        <w:t xml:space="preserve"> doręczeni</w:t>
      </w:r>
      <w:r w:rsidR="00DB56CA">
        <w:rPr>
          <w:rFonts w:ascii="Bookman Old Style" w:hAnsi="Bookman Old Style"/>
        </w:rPr>
        <w:t>u</w:t>
      </w:r>
      <w:r w:rsidR="007F7BD7" w:rsidRPr="00C62B29">
        <w:rPr>
          <w:rFonts w:ascii="Bookman Old Style" w:hAnsi="Bookman Old Style"/>
        </w:rPr>
        <w:t xml:space="preserve"> i wówczas sąd zobowiązuje powoda do doręczenia za pośrednictwem komornika sądowego. Komornik s</w:t>
      </w:r>
      <w:r w:rsidR="00E82CF0" w:rsidRPr="00C62B29">
        <w:rPr>
          <w:rFonts w:ascii="Bookman Old Style" w:hAnsi="Bookman Old Style"/>
        </w:rPr>
        <w:t>ą</w:t>
      </w:r>
      <w:r w:rsidR="007F7BD7" w:rsidRPr="00C62B29">
        <w:rPr>
          <w:rFonts w:ascii="Bookman Old Style" w:hAnsi="Bookman Old Style"/>
        </w:rPr>
        <w:t>dowy doręcz</w:t>
      </w:r>
      <w:r w:rsidR="00E163F4" w:rsidRPr="00C62B29">
        <w:rPr>
          <w:rFonts w:ascii="Bookman Old Style" w:hAnsi="Bookman Old Style"/>
        </w:rPr>
        <w:t>a</w:t>
      </w:r>
      <w:r w:rsidR="00A70457" w:rsidRPr="00C62B29">
        <w:rPr>
          <w:rFonts w:ascii="Bookman Old Style" w:hAnsi="Bookman Old Style"/>
        </w:rPr>
        <w:t xml:space="preserve"> pismo</w:t>
      </w:r>
      <w:r w:rsidR="00E163F4" w:rsidRPr="00C62B29">
        <w:rPr>
          <w:rFonts w:ascii="Bookman Old Style" w:hAnsi="Bookman Old Style"/>
        </w:rPr>
        <w:t>,</w:t>
      </w:r>
      <w:r w:rsidR="007F7BD7" w:rsidRPr="00C62B29">
        <w:rPr>
          <w:rFonts w:ascii="Bookman Old Style" w:hAnsi="Bookman Old Style"/>
        </w:rPr>
        <w:t xml:space="preserve"> na adres wskazany przez powoda, i gdy ustali, że jest to miejsce zamieszkania pozwanego, to zostawia zawiadomienie w skrzynce odbiorczej pozwanego o pozostawieniu pisma podlegające</w:t>
      </w:r>
      <w:r w:rsidR="00DB56CA">
        <w:rPr>
          <w:rFonts w:ascii="Bookman Old Style" w:hAnsi="Bookman Old Style"/>
        </w:rPr>
        <w:t>go</w:t>
      </w:r>
      <w:r w:rsidR="007F7BD7" w:rsidRPr="00C62B29">
        <w:rPr>
          <w:rFonts w:ascii="Bookman Old Style" w:hAnsi="Bookman Old Style"/>
        </w:rPr>
        <w:t xml:space="preserve"> doręczeniu w kancelarii komornika z pouczeniem o skutku w postaci doręczenia pisma po bezskutecznym upływie 14 dni. Nadto komornik może</w:t>
      </w:r>
      <w:r w:rsidR="00AA404B" w:rsidRPr="00C62B29">
        <w:rPr>
          <w:rFonts w:ascii="Bookman Old Style" w:hAnsi="Bookman Old Style"/>
        </w:rPr>
        <w:t>,</w:t>
      </w:r>
      <w:r w:rsidR="007F7BD7" w:rsidRPr="00C62B29">
        <w:rPr>
          <w:rFonts w:ascii="Bookman Old Style" w:hAnsi="Bookman Old Style"/>
        </w:rPr>
        <w:t xml:space="preserve"> na wniosek powoda</w:t>
      </w:r>
      <w:r w:rsidR="00AA404B" w:rsidRPr="00C62B29">
        <w:rPr>
          <w:rFonts w:ascii="Bookman Old Style" w:hAnsi="Bookman Old Style"/>
        </w:rPr>
        <w:t>,</w:t>
      </w:r>
      <w:r w:rsidR="007F7BD7" w:rsidRPr="00C62B29">
        <w:rPr>
          <w:rFonts w:ascii="Bookman Old Style" w:hAnsi="Bookman Old Style"/>
        </w:rPr>
        <w:t xml:space="preserve"> ustalić w oparciu o instrumenty przewidziane w art. 761 i 762 k.p.c. zwracając się do licznych instytucji, gdzie pozwany ma aktualne miejsce pobytu. Powstaje zatem pytanie, czy wskazanie w proponowanym art. 105e § 1 pr.not., że odpis notarialnego nakazu zapłaty doręcza się osobie zobowiązanej przez komornika sądowego oznacza właśnie ten tryb przewidziany w art. 3a ustawy o komornikach sądowych? </w:t>
      </w:r>
    </w:p>
    <w:p w14:paraId="6D7D65B9" w14:textId="7CD8B535" w:rsidR="007F7BD7" w:rsidRPr="00C62B29" w:rsidRDefault="007F7BD7"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Brak doręczenia osobie zobowiązanej nakazu zapłaty stwierdza notariusz protokołem, którego odpis doręcza wnioskodawcy. Przepis ten także budzi wątpliwości z uwagi na art. 499 § 1 pkt 4 k.p.c. </w:t>
      </w:r>
      <w:r w:rsidR="00DB56CA">
        <w:rPr>
          <w:rFonts w:ascii="Bookman Old Style" w:hAnsi="Bookman Old Style"/>
        </w:rPr>
        <w:t xml:space="preserve">stanowiący, </w:t>
      </w:r>
      <w:r w:rsidRPr="00C62B29">
        <w:rPr>
          <w:rFonts w:ascii="Bookman Old Style" w:hAnsi="Bookman Old Style"/>
        </w:rPr>
        <w:t>że nie jest dopuszczalne wydanie nakazu zapłaty w postępowaniu upominawczym, gdy doręczenie nakazu zapłaty pozwanemu nie jest możliwe w kraju.</w:t>
      </w:r>
    </w:p>
    <w:p w14:paraId="7EB4660F" w14:textId="27D1DAB7" w:rsidR="007F7BD7" w:rsidRPr="00C62B29" w:rsidRDefault="00C6594A" w:rsidP="001049D3">
      <w:pPr>
        <w:pStyle w:val="Akapitzlist"/>
        <w:suppressAutoHyphens/>
        <w:spacing w:line="360" w:lineRule="auto"/>
        <w:ind w:left="0" w:firstLine="567"/>
        <w:jc w:val="both"/>
        <w:rPr>
          <w:rFonts w:ascii="Bookman Old Style" w:hAnsi="Bookman Old Style"/>
        </w:rPr>
      </w:pPr>
      <w:r w:rsidRPr="00C62B29">
        <w:rPr>
          <w:rFonts w:ascii="Bookman Old Style" w:hAnsi="Bookman Old Style"/>
          <w:b/>
        </w:rPr>
        <w:t xml:space="preserve">6) </w:t>
      </w:r>
      <w:r w:rsidR="007F7BD7" w:rsidRPr="00C62B29">
        <w:rPr>
          <w:rFonts w:ascii="Bookman Old Style" w:hAnsi="Bookman Old Style"/>
        </w:rPr>
        <w:t xml:space="preserve">Największe wątpliwości wynikają </w:t>
      </w:r>
      <w:r w:rsidR="00AA404B" w:rsidRPr="00C62B29">
        <w:rPr>
          <w:rFonts w:ascii="Bookman Old Style" w:hAnsi="Bookman Old Style"/>
        </w:rPr>
        <w:t xml:space="preserve">z </w:t>
      </w:r>
      <w:r w:rsidR="007F7BD7" w:rsidRPr="00C62B29">
        <w:rPr>
          <w:rFonts w:ascii="Bookman Old Style" w:hAnsi="Bookman Old Style"/>
        </w:rPr>
        <w:t xml:space="preserve">projektowanego przepisu art. 105j pr.not. Nie jest jasne, jaka była intencja </w:t>
      </w:r>
      <w:r w:rsidR="005E0CB6">
        <w:rPr>
          <w:rFonts w:ascii="Bookman Old Style" w:hAnsi="Bookman Old Style"/>
        </w:rPr>
        <w:t>P</w:t>
      </w:r>
      <w:r w:rsidR="007F7BD7" w:rsidRPr="00C62B29">
        <w:rPr>
          <w:rFonts w:ascii="Bookman Old Style" w:hAnsi="Bookman Old Style"/>
        </w:rPr>
        <w:t xml:space="preserve">rojektodawcy, czy tylko aby notariusz mógł skorzystać z systemu teleinformatycznego obsługującego elektroniczne postępowaniu upominawcze, aby wydać notarialny nakaz </w:t>
      </w:r>
      <w:r w:rsidR="007F7BD7" w:rsidRPr="00C62B29">
        <w:rPr>
          <w:rFonts w:ascii="Bookman Old Style" w:hAnsi="Bookman Old Style"/>
        </w:rPr>
        <w:lastRenderedPageBreak/>
        <w:t xml:space="preserve">zapłaty? Czy może o to, aby notariusz, był obok sędziego, referendarza sądowego kolejnym orzecznikiem uprawnionym do wydania nakazów zapłaty w elektronicznym postępowaniu upominawczym? Wydaje się, że wyłącznie to pierwsze rozwiązanie może wchodzić w rachubę, chociażby z powodu tego, że </w:t>
      </w:r>
      <w:r w:rsidR="002D7DA2">
        <w:rPr>
          <w:rFonts w:ascii="Bookman Old Style" w:hAnsi="Bookman Old Style"/>
        </w:rPr>
        <w:t>P</w:t>
      </w:r>
      <w:r w:rsidR="007F7BD7" w:rsidRPr="00C62B29">
        <w:rPr>
          <w:rFonts w:ascii="Bookman Old Style" w:hAnsi="Bookman Old Style"/>
        </w:rPr>
        <w:t>rojekt wyraźnie wskazuje, że w epu notariusz ma nadal wydawać notarialny nakaz zapłaty. Jeżeli zatem, prawidłowe jest takie rozumienie art. 105j pr</w:t>
      </w:r>
      <w:r w:rsidRPr="00C62B29">
        <w:rPr>
          <w:rFonts w:ascii="Bookman Old Style" w:hAnsi="Bookman Old Style"/>
        </w:rPr>
        <w:t>.not.</w:t>
      </w:r>
      <w:r w:rsidR="007F7BD7" w:rsidRPr="00C62B29">
        <w:rPr>
          <w:rFonts w:ascii="Bookman Old Style" w:hAnsi="Bookman Old Style"/>
        </w:rPr>
        <w:t xml:space="preserve">, to jest on wadliwie sformułowany. Elektroniczne postępowanie upominawcze jest bowiem odrębnie uregulowane, np. co do podstaw wydania nakazu zapłaty, warunków formalnych pism procesowych stron, formy, w jakich pisma mogą być wnoszone do sądu, skutków wydania nakazu zapłaty w sytuacji, gdy doręczenie nie może nastąpić w kraju, doręczeń pism sądowych pozwanemu, czyli np. zastosowania art. 139 k.p.c., itd. </w:t>
      </w:r>
    </w:p>
    <w:p w14:paraId="69BC5764" w14:textId="77777777" w:rsidR="00DB7309"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b/>
        </w:rPr>
        <w:t>7)</w:t>
      </w:r>
      <w:r w:rsidRPr="00C62B29">
        <w:rPr>
          <w:rFonts w:ascii="Bookman Old Style" w:hAnsi="Bookman Old Style"/>
        </w:rPr>
        <w:t xml:space="preserve"> </w:t>
      </w:r>
      <w:r w:rsidR="00DB7309" w:rsidRPr="00C62B29">
        <w:rPr>
          <w:rFonts w:ascii="Bookman Old Style" w:hAnsi="Bookman Old Style"/>
        </w:rPr>
        <w:t>Brak jakiegokolwiek uzasadnienia dla ograniczenia ilościowego do 200 wydawanych nakazów miesięcznie</w:t>
      </w:r>
      <w:r w:rsidR="00A03ACE" w:rsidRPr="00C62B29">
        <w:rPr>
          <w:rFonts w:ascii="Bookman Old Style" w:hAnsi="Bookman Old Style"/>
        </w:rPr>
        <w:t xml:space="preserve"> (</w:t>
      </w:r>
      <w:r w:rsidR="00EF45B3" w:rsidRPr="00C62B29">
        <w:rPr>
          <w:rFonts w:ascii="Bookman Old Style" w:hAnsi="Bookman Old Style"/>
        </w:rPr>
        <w:t>projektowany</w:t>
      </w:r>
      <w:r w:rsidR="00A03ACE" w:rsidRPr="00C62B29">
        <w:rPr>
          <w:rFonts w:ascii="Bookman Old Style" w:hAnsi="Bookman Old Style"/>
        </w:rPr>
        <w:t xml:space="preserve"> art. 105a</w:t>
      </w:r>
      <w:r w:rsidR="00EF45B3" w:rsidRPr="00C62B29">
        <w:rPr>
          <w:rFonts w:ascii="Bookman Old Style" w:hAnsi="Bookman Old Style"/>
        </w:rPr>
        <w:t xml:space="preserve"> § 2 pr.not.)</w:t>
      </w:r>
      <w:r w:rsidR="00DB7309" w:rsidRPr="00C62B29">
        <w:rPr>
          <w:rFonts w:ascii="Bookman Old Style" w:hAnsi="Bookman Old Style"/>
        </w:rPr>
        <w:t>. Uzasadnienie Projektu w żaden sposób nie odnosi się do tej regulacji</w:t>
      </w:r>
      <w:r w:rsidR="004F49D6" w:rsidRPr="00C62B29">
        <w:rPr>
          <w:rFonts w:ascii="Bookman Old Style" w:hAnsi="Bookman Old Style"/>
        </w:rPr>
        <w:t xml:space="preserve">, dlaczego akurat 200, a nie 150 lub 300 nakazów. Ponadto brak </w:t>
      </w:r>
      <w:r w:rsidR="00E114DA" w:rsidRPr="00C62B29">
        <w:rPr>
          <w:rFonts w:ascii="Bookman Old Style" w:hAnsi="Bookman Old Style"/>
        </w:rPr>
        <w:t xml:space="preserve">jakiejkolwiek </w:t>
      </w:r>
      <w:r w:rsidR="004F49D6" w:rsidRPr="00C62B29">
        <w:rPr>
          <w:rFonts w:ascii="Bookman Old Style" w:hAnsi="Bookman Old Style"/>
        </w:rPr>
        <w:t>wskazówki</w:t>
      </w:r>
      <w:r w:rsidR="00C72589" w:rsidRPr="00C62B29">
        <w:rPr>
          <w:rFonts w:ascii="Bookman Old Style" w:hAnsi="Bookman Old Style"/>
        </w:rPr>
        <w:t xml:space="preserve"> czy w licz</w:t>
      </w:r>
      <w:r w:rsidR="00A074E3" w:rsidRPr="00C62B29">
        <w:rPr>
          <w:rFonts w:ascii="Bookman Old Style" w:hAnsi="Bookman Old Style"/>
        </w:rPr>
        <w:t>b</w:t>
      </w:r>
      <w:r w:rsidR="00C72589" w:rsidRPr="00C62B29">
        <w:rPr>
          <w:rFonts w:ascii="Bookman Old Style" w:hAnsi="Bookman Old Style"/>
        </w:rPr>
        <w:t>ie tej mieszczą się tylko nakazy</w:t>
      </w:r>
      <w:r w:rsidR="00A074E3" w:rsidRPr="00C62B29">
        <w:rPr>
          <w:rFonts w:ascii="Bookman Old Style" w:hAnsi="Bookman Old Style"/>
        </w:rPr>
        <w:t>,</w:t>
      </w:r>
      <w:r w:rsidR="00C72589" w:rsidRPr="00C62B29">
        <w:rPr>
          <w:rFonts w:ascii="Bookman Old Style" w:hAnsi="Bookman Old Style"/>
        </w:rPr>
        <w:t xml:space="preserve"> które się uprawomocniły, czy również te</w:t>
      </w:r>
      <w:r w:rsidR="00A074E3" w:rsidRPr="00C62B29">
        <w:rPr>
          <w:rFonts w:ascii="Bookman Old Style" w:hAnsi="Bookman Old Style"/>
        </w:rPr>
        <w:t>,</w:t>
      </w:r>
      <w:r w:rsidR="00C72589" w:rsidRPr="00C62B29">
        <w:rPr>
          <w:rFonts w:ascii="Bookman Old Style" w:hAnsi="Bookman Old Style"/>
        </w:rPr>
        <w:t xml:space="preserve"> które utraciły moc prawną.</w:t>
      </w:r>
    </w:p>
    <w:p w14:paraId="790FA604" w14:textId="77777777" w:rsidR="00865804" w:rsidRDefault="00865804" w:rsidP="001049D3">
      <w:pPr>
        <w:suppressAutoHyphens/>
        <w:spacing w:line="276" w:lineRule="auto"/>
        <w:ind w:firstLine="567"/>
        <w:jc w:val="both"/>
        <w:rPr>
          <w:rFonts w:ascii="Bookman Old Style" w:hAnsi="Bookman Old Style" w:cs="Arial"/>
          <w:b/>
          <w:spacing w:val="4"/>
        </w:rPr>
      </w:pPr>
    </w:p>
    <w:p w14:paraId="79718099" w14:textId="6882B2BB" w:rsidR="004F2E16" w:rsidRPr="00C62B29" w:rsidRDefault="00C6594A" w:rsidP="001049D3">
      <w:pPr>
        <w:suppressAutoHyphens/>
        <w:spacing w:line="276" w:lineRule="auto"/>
        <w:ind w:firstLine="567"/>
        <w:jc w:val="both"/>
        <w:rPr>
          <w:rFonts w:ascii="Bookman Old Style" w:hAnsi="Bookman Old Style" w:cs="Arial"/>
          <w:b/>
          <w:spacing w:val="4"/>
        </w:rPr>
      </w:pPr>
      <w:r w:rsidRPr="00C62B29">
        <w:rPr>
          <w:rFonts w:ascii="Bookman Old Style" w:hAnsi="Bookman Old Style" w:cs="Arial"/>
          <w:b/>
          <w:spacing w:val="4"/>
        </w:rPr>
        <w:t>Podsumowanie</w:t>
      </w:r>
    </w:p>
    <w:p w14:paraId="125F75A8" w14:textId="0227E545" w:rsidR="00C87115"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rPr>
        <w:t>Niewątpliwie cenną i pożądaną społecznie jest inicjatywa nowych czynności notarialnych, która po wprowadzeniu odpowiednich modyfikacji projektowanych przepisów</w:t>
      </w:r>
      <w:r w:rsidR="00513E53" w:rsidRPr="00C62B29">
        <w:rPr>
          <w:rFonts w:ascii="Bookman Old Style" w:hAnsi="Bookman Old Style"/>
        </w:rPr>
        <w:t xml:space="preserve"> oraz po pogłębionej analizie ekonomicznej skutków wprowadzenia </w:t>
      </w:r>
      <w:r w:rsidR="00595C5A" w:rsidRPr="00C62B29">
        <w:rPr>
          <w:rFonts w:ascii="Bookman Old Style" w:hAnsi="Bookman Old Style"/>
        </w:rPr>
        <w:t>nowych czynności dla kancelarii notarialnej</w:t>
      </w:r>
      <w:r w:rsidR="00513E53" w:rsidRPr="00C62B29">
        <w:rPr>
          <w:rFonts w:ascii="Bookman Old Style" w:hAnsi="Bookman Old Style"/>
        </w:rPr>
        <w:t>, której t</w:t>
      </w:r>
      <w:r w:rsidR="00595C5A" w:rsidRPr="00C62B29">
        <w:rPr>
          <w:rFonts w:ascii="Bookman Old Style" w:hAnsi="Bookman Old Style"/>
        </w:rPr>
        <w:t>o analizy niniejsza o</w:t>
      </w:r>
      <w:r w:rsidR="00513E53" w:rsidRPr="00C62B29">
        <w:rPr>
          <w:rFonts w:ascii="Bookman Old Style" w:hAnsi="Bookman Old Style"/>
        </w:rPr>
        <w:t>pinia w ogóle nie zawiera,</w:t>
      </w:r>
      <w:r w:rsidRPr="00C62B29">
        <w:rPr>
          <w:rFonts w:ascii="Bookman Old Style" w:hAnsi="Bookman Old Style"/>
        </w:rPr>
        <w:t xml:space="preserve"> zrealizuje cel Projektodawcy</w:t>
      </w:r>
      <w:r w:rsidR="00690A14" w:rsidRPr="00C62B29">
        <w:rPr>
          <w:rFonts w:ascii="Bookman Old Style" w:hAnsi="Bookman Old Style"/>
        </w:rPr>
        <w:t>.</w:t>
      </w:r>
      <w:r w:rsidRPr="00C62B29">
        <w:rPr>
          <w:rFonts w:ascii="Bookman Old Style" w:hAnsi="Bookman Old Style"/>
        </w:rPr>
        <w:t xml:space="preserve"> Aby tak się stało, Projekt </w:t>
      </w:r>
      <w:r w:rsidR="00426E7A" w:rsidRPr="00C62B29">
        <w:rPr>
          <w:rFonts w:ascii="Bookman Old Style" w:hAnsi="Bookman Old Style"/>
        </w:rPr>
        <w:t>wymaga wielu zmian i pogłębionych analiz i konsultacji</w:t>
      </w:r>
      <w:r w:rsidRPr="00C62B29">
        <w:rPr>
          <w:rFonts w:ascii="Bookman Old Style" w:hAnsi="Bookman Old Style"/>
        </w:rPr>
        <w:t>.</w:t>
      </w:r>
    </w:p>
    <w:p w14:paraId="4A8BD8B5" w14:textId="08C818FC" w:rsidR="00426E7A" w:rsidRPr="00C62B29" w:rsidRDefault="00C6594A" w:rsidP="001049D3">
      <w:pPr>
        <w:suppressAutoHyphens/>
        <w:spacing w:line="360" w:lineRule="auto"/>
        <w:ind w:firstLine="567"/>
        <w:jc w:val="both"/>
        <w:rPr>
          <w:rFonts w:ascii="Bookman Old Style" w:hAnsi="Bookman Old Style"/>
        </w:rPr>
      </w:pPr>
      <w:r w:rsidRPr="00C62B29">
        <w:rPr>
          <w:rFonts w:ascii="Bookman Old Style" w:hAnsi="Bookman Old Style"/>
        </w:rPr>
        <w:t xml:space="preserve">Negatywnie należy ocenić daleko idące zmiany w zakresie nadzoru nad notariatem oraz modyfikacji jego statusu, tym bardziej, że aktualny stan prawny zapewnia Ministrowi Sprawiedliwości </w:t>
      </w:r>
      <w:r w:rsidR="004A0731" w:rsidRPr="00C62B29">
        <w:rPr>
          <w:rFonts w:ascii="Bookman Old Style" w:hAnsi="Bookman Old Style"/>
        </w:rPr>
        <w:t xml:space="preserve">możliwość stosowania nadzoru </w:t>
      </w:r>
      <w:r w:rsidRPr="00C62B29">
        <w:rPr>
          <w:rFonts w:ascii="Bookman Old Style" w:hAnsi="Bookman Old Style"/>
        </w:rPr>
        <w:t>w sposób zadowalający</w:t>
      </w:r>
      <w:r w:rsidR="00426E7A" w:rsidRPr="00C62B29">
        <w:rPr>
          <w:rFonts w:ascii="Bookman Old Style" w:hAnsi="Bookman Old Style"/>
        </w:rPr>
        <w:t>, a uzasadnienie Projektu nie przedstawia przekonującej argumentacji za wprowadzeniem tak drastycznych zmian</w:t>
      </w:r>
      <w:r w:rsidRPr="00C62B29">
        <w:rPr>
          <w:rFonts w:ascii="Bookman Old Style" w:hAnsi="Bookman Old Style"/>
        </w:rPr>
        <w:t>.</w:t>
      </w:r>
    </w:p>
    <w:p w14:paraId="2C08CBE4" w14:textId="77777777" w:rsidR="00865804" w:rsidRDefault="00865804">
      <w:pPr>
        <w:rPr>
          <w:rFonts w:ascii="Bookman Old Style" w:hAnsi="Bookman Old Style"/>
        </w:rPr>
      </w:pPr>
      <w:r>
        <w:rPr>
          <w:rFonts w:ascii="Bookman Old Style" w:hAnsi="Bookman Old Style"/>
        </w:rPr>
        <w:br w:type="page"/>
      </w:r>
    </w:p>
    <w:p w14:paraId="7F73402D" w14:textId="2355C239" w:rsidR="004A0731" w:rsidRPr="00C62B29" w:rsidRDefault="004A0731" w:rsidP="001049D3">
      <w:pPr>
        <w:suppressAutoHyphens/>
        <w:spacing w:line="360" w:lineRule="auto"/>
        <w:ind w:firstLine="567"/>
        <w:jc w:val="both"/>
        <w:rPr>
          <w:rFonts w:ascii="Bookman Old Style" w:hAnsi="Bookman Old Style"/>
        </w:rPr>
      </w:pPr>
      <w:r w:rsidRPr="00C62B29">
        <w:rPr>
          <w:rFonts w:ascii="Bookman Old Style" w:hAnsi="Bookman Old Style"/>
        </w:rPr>
        <w:lastRenderedPageBreak/>
        <w:t>Na zakończenie ninie</w:t>
      </w:r>
      <w:r w:rsidR="002B04A4" w:rsidRPr="00C62B29">
        <w:rPr>
          <w:rFonts w:ascii="Bookman Old Style" w:hAnsi="Bookman Old Style"/>
        </w:rPr>
        <w:t>j</w:t>
      </w:r>
      <w:r w:rsidRPr="00C62B29">
        <w:rPr>
          <w:rFonts w:ascii="Bookman Old Style" w:hAnsi="Bookman Old Style"/>
        </w:rPr>
        <w:t>szej opinii Stow</w:t>
      </w:r>
      <w:r w:rsidR="002B04A4" w:rsidRPr="00C62B29">
        <w:rPr>
          <w:rFonts w:ascii="Bookman Old Style" w:hAnsi="Bookman Old Style"/>
        </w:rPr>
        <w:t>a</w:t>
      </w:r>
      <w:r w:rsidRPr="00C62B29">
        <w:rPr>
          <w:rFonts w:ascii="Bookman Old Style" w:hAnsi="Bookman Old Style"/>
        </w:rPr>
        <w:t xml:space="preserve">rzyszenie Notariuszy RP pragnie podkreślić, że w pełni podziela stanowisko Krajowej Rady </w:t>
      </w:r>
      <w:r w:rsidR="00812C4D">
        <w:rPr>
          <w:rFonts w:ascii="Bookman Old Style" w:hAnsi="Bookman Old Style"/>
        </w:rPr>
        <w:t>N</w:t>
      </w:r>
      <w:r w:rsidRPr="00C62B29">
        <w:rPr>
          <w:rFonts w:ascii="Bookman Old Style" w:hAnsi="Bookman Old Style"/>
        </w:rPr>
        <w:t>otarialnej</w:t>
      </w:r>
      <w:r w:rsidR="002B04A4" w:rsidRPr="00C62B29">
        <w:rPr>
          <w:rFonts w:ascii="Bookman Old Style" w:hAnsi="Bookman Old Style"/>
        </w:rPr>
        <w:t xml:space="preserve"> dotyczące projektowanej nowelizacji Ustawy Prawo o notariacie.</w:t>
      </w:r>
    </w:p>
    <w:p w14:paraId="73315C1C" w14:textId="72056C32" w:rsidR="00C6594A" w:rsidRPr="00C62B29" w:rsidRDefault="00C6594A" w:rsidP="001049D3">
      <w:pPr>
        <w:suppressAutoHyphens/>
        <w:spacing w:line="360" w:lineRule="auto"/>
        <w:ind w:firstLine="567"/>
        <w:jc w:val="both"/>
        <w:rPr>
          <w:rFonts w:ascii="Bookman Old Style" w:hAnsi="Bookman Old Style" w:cs="Arial"/>
          <w:spacing w:val="4"/>
        </w:rPr>
      </w:pPr>
      <w:r w:rsidRPr="00C62B29">
        <w:rPr>
          <w:rFonts w:ascii="Bookman Old Style" w:hAnsi="Bookman Old Style"/>
        </w:rPr>
        <w:t xml:space="preserve"> </w:t>
      </w:r>
      <w:r w:rsidRPr="00C62B29">
        <w:rPr>
          <w:rFonts w:ascii="Bookman Old Style" w:hAnsi="Bookman Old Style"/>
          <w:b/>
        </w:rPr>
        <w:t xml:space="preserve">W ocenie SNRP </w:t>
      </w:r>
      <w:r w:rsidR="00E11494" w:rsidRPr="00C62B29">
        <w:rPr>
          <w:rFonts w:ascii="Bookman Old Style" w:hAnsi="Bookman Old Style"/>
          <w:b/>
        </w:rPr>
        <w:t>P</w:t>
      </w:r>
      <w:r w:rsidRPr="00C62B29">
        <w:rPr>
          <w:rFonts w:ascii="Bookman Old Style" w:hAnsi="Bookman Old Style"/>
          <w:b/>
        </w:rPr>
        <w:t>rojekt wymaga dalszych prac, z uwzględnieniem uwag środowiska akademickiego, sądowego i</w:t>
      </w:r>
      <w:r w:rsidR="00E11494" w:rsidRPr="00C62B29">
        <w:rPr>
          <w:rFonts w:ascii="Bookman Old Style" w:hAnsi="Bookman Old Style"/>
          <w:b/>
        </w:rPr>
        <w:t> </w:t>
      </w:r>
      <w:r w:rsidRPr="00C62B29">
        <w:rPr>
          <w:rFonts w:ascii="Bookman Old Style" w:hAnsi="Bookman Old Style"/>
          <w:b/>
        </w:rPr>
        <w:t>notarialnego</w:t>
      </w:r>
      <w:r w:rsidR="002D5056" w:rsidRPr="00C62B29">
        <w:rPr>
          <w:rFonts w:ascii="Bookman Old Style" w:hAnsi="Bookman Old Style"/>
          <w:b/>
        </w:rPr>
        <w:t xml:space="preserve"> i w obecnym kształcie nie powinien być przyjęty</w:t>
      </w:r>
      <w:r w:rsidR="00E11494" w:rsidRPr="00C62B29">
        <w:rPr>
          <w:rFonts w:ascii="Bookman Old Style" w:hAnsi="Bookman Old Style"/>
        </w:rPr>
        <w:t>.</w:t>
      </w:r>
      <w:r w:rsidRPr="00C62B29">
        <w:rPr>
          <w:rFonts w:ascii="Bookman Old Style" w:hAnsi="Bookman Old Style"/>
        </w:rPr>
        <w:t xml:space="preserve"> </w:t>
      </w:r>
    </w:p>
    <w:p w14:paraId="4D76E769" w14:textId="4593CC3A" w:rsidR="001647F8" w:rsidRPr="00970D4A" w:rsidRDefault="001647F8" w:rsidP="001049D3">
      <w:pPr>
        <w:suppressAutoHyphens/>
        <w:spacing w:line="276" w:lineRule="auto"/>
        <w:jc w:val="both"/>
        <w:rPr>
          <w:rFonts w:ascii="Bookman Old Style" w:eastAsia="Cambria" w:hAnsi="Bookman Old Style" w:cs="Arial"/>
        </w:rPr>
      </w:pPr>
    </w:p>
    <w:p w14:paraId="20668C73" w14:textId="77777777" w:rsidR="00F127CB" w:rsidRPr="00970D4A" w:rsidRDefault="00F127CB" w:rsidP="001049D3">
      <w:pPr>
        <w:tabs>
          <w:tab w:val="left" w:pos="10206"/>
        </w:tabs>
        <w:suppressAutoHyphens/>
        <w:ind w:left="709" w:right="622"/>
        <w:jc w:val="center"/>
        <w:rPr>
          <w:rFonts w:ascii="Bookman Old Style" w:hAnsi="Bookman Old Style" w:cs="Arial"/>
        </w:rPr>
      </w:pPr>
      <w:r w:rsidRPr="00970D4A">
        <w:rPr>
          <w:rFonts w:ascii="Bookman Old Style" w:hAnsi="Bookman Old Style" w:cs="Arial"/>
        </w:rPr>
        <w:t>§ 2.</w:t>
      </w:r>
    </w:p>
    <w:p w14:paraId="1926D78B" w14:textId="77777777" w:rsidR="00F127CB" w:rsidRPr="00970D4A" w:rsidRDefault="00F127CB" w:rsidP="001049D3">
      <w:pPr>
        <w:tabs>
          <w:tab w:val="left" w:pos="10206"/>
        </w:tabs>
        <w:suppressAutoHyphens/>
        <w:ind w:left="709" w:right="622"/>
        <w:jc w:val="center"/>
        <w:rPr>
          <w:rFonts w:ascii="Bookman Old Style" w:hAnsi="Bookman Old Style" w:cs="Arial"/>
        </w:rPr>
      </w:pPr>
    </w:p>
    <w:p w14:paraId="0227B914" w14:textId="77777777" w:rsidR="00F127CB" w:rsidRPr="00970D4A" w:rsidRDefault="00F127CB" w:rsidP="001049D3">
      <w:pPr>
        <w:pStyle w:val="Tekstpodstawowy"/>
        <w:tabs>
          <w:tab w:val="left" w:pos="10206"/>
        </w:tabs>
        <w:ind w:right="622"/>
        <w:rPr>
          <w:rFonts w:ascii="Bookman Old Style" w:hAnsi="Bookman Old Style" w:cs="Arial"/>
          <w:szCs w:val="24"/>
          <w:lang w:eastAsia="pl-PL"/>
        </w:rPr>
      </w:pPr>
      <w:r w:rsidRPr="00970D4A">
        <w:rPr>
          <w:rFonts w:ascii="Bookman Old Style" w:hAnsi="Bookman Old Style" w:cs="Arial"/>
          <w:szCs w:val="24"/>
        </w:rPr>
        <w:t>Uchwała wchodzi w życie z dniem podjęcia.</w:t>
      </w:r>
    </w:p>
    <w:p w14:paraId="48F3F5FA" w14:textId="77777777" w:rsidR="00F127CB" w:rsidRPr="00970D4A" w:rsidRDefault="00F127CB" w:rsidP="001049D3">
      <w:pPr>
        <w:pStyle w:val="Tekstpodstawowy"/>
        <w:ind w:left="709" w:right="622"/>
        <w:rPr>
          <w:rFonts w:ascii="Bookman Old Style" w:hAnsi="Bookman Old Style" w:cs="Arial"/>
          <w:szCs w:val="24"/>
          <w:lang w:eastAsia="pl-PL"/>
        </w:rPr>
      </w:pPr>
    </w:p>
    <w:p w14:paraId="0A0F77E3" w14:textId="10A245B9" w:rsidR="001049D3" w:rsidRPr="00970D4A" w:rsidRDefault="00F20FF2" w:rsidP="001049D3">
      <w:pPr>
        <w:pStyle w:val="Tekstpodstawowy"/>
        <w:tabs>
          <w:tab w:val="left" w:pos="567"/>
        </w:tabs>
        <w:spacing w:line="360" w:lineRule="auto"/>
        <w:ind w:left="567" w:right="-46"/>
        <w:rPr>
          <w:rFonts w:ascii="Bookman Old Style" w:hAnsi="Bookman Old Style"/>
          <w:lang w:eastAsia="pl-PL"/>
        </w:rPr>
      </w:pPr>
      <w:r>
        <w:rPr>
          <w:rFonts w:ascii="Bookman Old Style" w:hAnsi="Bookman Old Style"/>
          <w:lang w:eastAsia="pl-PL"/>
        </w:rPr>
        <w:tab/>
      </w:r>
      <w:r>
        <w:rPr>
          <w:rFonts w:ascii="Bookman Old Style" w:hAnsi="Bookman Old Style"/>
          <w:lang w:eastAsia="pl-PL"/>
        </w:rPr>
        <w:tab/>
      </w:r>
      <w:r w:rsidR="001049D3" w:rsidRPr="00970D4A">
        <w:rPr>
          <w:rFonts w:ascii="Bookman Old Style" w:hAnsi="Bookman Old Style"/>
          <w:lang w:eastAsia="pl-PL"/>
        </w:rPr>
        <w:t>Podpisy członków Zarządu znajdują się na oryginale Uchwały.</w:t>
      </w:r>
    </w:p>
    <w:p w14:paraId="1C228529" w14:textId="77777777" w:rsidR="008B483E" w:rsidRDefault="008B483E" w:rsidP="001049D3">
      <w:pPr>
        <w:tabs>
          <w:tab w:val="left" w:pos="9356"/>
        </w:tabs>
        <w:suppressAutoHyphens/>
        <w:ind w:left="5664" w:right="478"/>
        <w:rPr>
          <w:rFonts w:ascii="Bookman Old Style" w:hAnsi="Bookman Old Style"/>
          <w:lang w:eastAsia="pl-PL"/>
        </w:rPr>
      </w:pPr>
    </w:p>
    <w:p w14:paraId="43844C57" w14:textId="77777777" w:rsidR="00FC348B" w:rsidRDefault="001049D3" w:rsidP="001049D3">
      <w:pPr>
        <w:tabs>
          <w:tab w:val="left" w:pos="9356"/>
        </w:tabs>
        <w:suppressAutoHyphens/>
        <w:ind w:left="5664" w:right="478"/>
        <w:rPr>
          <w:rFonts w:ascii="Bookman Old Style" w:hAnsi="Bookman Old Style"/>
          <w:lang w:eastAsia="pl-PL"/>
        </w:rPr>
      </w:pPr>
      <w:r w:rsidRPr="00970D4A">
        <w:rPr>
          <w:rFonts w:ascii="Bookman Old Style" w:hAnsi="Bookman Old Style"/>
          <w:lang w:eastAsia="pl-PL"/>
        </w:rPr>
        <w:tab/>
      </w:r>
    </w:p>
    <w:p w14:paraId="73906FCC" w14:textId="2BA712AD" w:rsidR="001049D3" w:rsidRPr="00970D4A" w:rsidRDefault="001049D3" w:rsidP="001049D3">
      <w:pPr>
        <w:tabs>
          <w:tab w:val="left" w:pos="9356"/>
        </w:tabs>
        <w:suppressAutoHyphens/>
        <w:ind w:left="5664" w:right="478"/>
        <w:rPr>
          <w:rFonts w:ascii="Bookman Old Style" w:hAnsi="Bookman Old Style"/>
        </w:rPr>
      </w:pPr>
      <w:r w:rsidRPr="00970D4A">
        <w:rPr>
          <w:rFonts w:ascii="Bookman Old Style" w:hAnsi="Bookman Old Style"/>
        </w:rPr>
        <w:t xml:space="preserve">W imieniu Zarządu </w:t>
      </w:r>
    </w:p>
    <w:p w14:paraId="37D4BEAF" w14:textId="77777777" w:rsidR="001049D3" w:rsidRPr="00970D4A" w:rsidRDefault="001049D3" w:rsidP="001049D3">
      <w:pPr>
        <w:suppressAutoHyphens/>
        <w:ind w:right="52" w:firstLine="709"/>
        <w:jc w:val="both"/>
        <w:rPr>
          <w:rFonts w:ascii="Bookman Old Style" w:hAnsi="Bookman Old Style"/>
        </w:rPr>
      </w:pPr>
    </w:p>
    <w:p w14:paraId="77A4240D" w14:textId="47523868" w:rsidR="001049D3" w:rsidRPr="00970D4A" w:rsidRDefault="001049D3" w:rsidP="001049D3">
      <w:pPr>
        <w:suppressAutoHyphens/>
        <w:ind w:right="52" w:firstLine="709"/>
        <w:rPr>
          <w:rFonts w:ascii="Bookman Old Style" w:hAnsi="Bookman Old Style"/>
        </w:rPr>
      </w:pPr>
      <w:r w:rsidRPr="00970D4A">
        <w:rPr>
          <w:rFonts w:ascii="Bookman Old Style" w:hAnsi="Bookman Old Style"/>
        </w:rPr>
        <w:t xml:space="preserve">  Izabella Soroko - Borska</w:t>
      </w:r>
      <w:r w:rsidRPr="00970D4A">
        <w:rPr>
          <w:rFonts w:ascii="Bookman Old Style" w:hAnsi="Bookman Old Style"/>
        </w:rPr>
        <w:tab/>
      </w:r>
      <w:r w:rsidRPr="00970D4A">
        <w:rPr>
          <w:rFonts w:ascii="Bookman Old Style" w:hAnsi="Bookman Old Style"/>
        </w:rPr>
        <w:tab/>
      </w:r>
      <w:r w:rsidRPr="00970D4A">
        <w:rPr>
          <w:rFonts w:ascii="Bookman Old Style" w:hAnsi="Bookman Old Style"/>
        </w:rPr>
        <w:tab/>
      </w:r>
      <w:r w:rsidRPr="00970D4A">
        <w:rPr>
          <w:rFonts w:ascii="Bookman Old Style" w:hAnsi="Bookman Old Style"/>
        </w:rPr>
        <w:tab/>
        <w:t xml:space="preserve">Anna Dańko – Roesler </w:t>
      </w:r>
    </w:p>
    <w:p w14:paraId="6F07F6D0" w14:textId="77777777" w:rsidR="001049D3" w:rsidRPr="00970D4A" w:rsidRDefault="001049D3" w:rsidP="001049D3">
      <w:pPr>
        <w:suppressAutoHyphens/>
        <w:ind w:right="52" w:firstLine="709"/>
        <w:rPr>
          <w:rFonts w:ascii="Bookman Old Style" w:hAnsi="Bookman Old Style"/>
        </w:rPr>
      </w:pPr>
    </w:p>
    <w:p w14:paraId="52305D20" w14:textId="17EE307C" w:rsidR="00F127CB" w:rsidRPr="00F20FF2" w:rsidRDefault="001049D3" w:rsidP="00F20FF2">
      <w:pPr>
        <w:suppressAutoHyphens/>
        <w:ind w:right="52" w:firstLine="709"/>
        <w:rPr>
          <w:rFonts w:ascii="Bookman Old Style" w:hAnsi="Bookman Old Style"/>
        </w:rPr>
      </w:pPr>
      <w:r w:rsidRPr="00970D4A">
        <w:rPr>
          <w:rFonts w:ascii="Bookman Old Style" w:hAnsi="Bookman Old Style"/>
        </w:rPr>
        <w:t xml:space="preserve">      Członek Zarządu                          </w:t>
      </w:r>
      <w:r w:rsidRPr="00970D4A">
        <w:rPr>
          <w:rFonts w:ascii="Bookman Old Style" w:hAnsi="Bookman Old Style"/>
        </w:rPr>
        <w:tab/>
        <w:t xml:space="preserve">   </w:t>
      </w:r>
      <w:r w:rsidRPr="00970D4A">
        <w:rPr>
          <w:rFonts w:ascii="Bookman Old Style" w:hAnsi="Bookman Old Style"/>
        </w:rPr>
        <w:tab/>
        <w:t xml:space="preserve">  </w:t>
      </w:r>
      <w:r w:rsidR="00970D4A">
        <w:rPr>
          <w:rFonts w:ascii="Bookman Old Style" w:hAnsi="Bookman Old Style"/>
        </w:rPr>
        <w:t xml:space="preserve"> </w:t>
      </w:r>
      <w:r w:rsidRPr="00970D4A">
        <w:rPr>
          <w:rFonts w:ascii="Bookman Old Style" w:hAnsi="Bookman Old Style"/>
        </w:rPr>
        <w:t xml:space="preserve">  Prezes Zarządu </w:t>
      </w:r>
    </w:p>
    <w:sectPr w:rsidR="00F127CB" w:rsidRPr="00F20FF2" w:rsidSect="00865804">
      <w:footerReference w:type="even" r:id="rId14"/>
      <w:footerReference w:type="default" r:id="rId15"/>
      <w:pgSz w:w="11906" w:h="16838"/>
      <w:pgMar w:top="1191"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BA12" w14:textId="77777777" w:rsidR="00467D40" w:rsidRDefault="00467D40">
      <w:r>
        <w:separator/>
      </w:r>
    </w:p>
  </w:endnote>
  <w:endnote w:type="continuationSeparator" w:id="0">
    <w:p w14:paraId="42DF9B26" w14:textId="77777777" w:rsidR="00467D40" w:rsidRDefault="0046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16B3" w14:textId="75D46EA0" w:rsidR="00467D40" w:rsidRDefault="00467D40" w:rsidP="004C104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sidR="00D20A81">
      <w:rPr>
        <w:rStyle w:val="Numerstrony"/>
      </w:rPr>
      <w:fldChar w:fldCharType="separate"/>
    </w:r>
    <w:r w:rsidR="00D20A81">
      <w:rPr>
        <w:rStyle w:val="Numerstrony"/>
        <w:noProof/>
      </w:rPr>
      <w:t>33</w:t>
    </w:r>
    <w:r>
      <w:rPr>
        <w:rStyle w:val="Numerstrony"/>
      </w:rPr>
      <w:fldChar w:fldCharType="end"/>
    </w:r>
  </w:p>
  <w:p w14:paraId="60B1CAA2" w14:textId="77777777" w:rsidR="00467D40" w:rsidRDefault="00467D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DDCB0" w14:textId="77777777" w:rsidR="00467D40" w:rsidRDefault="00467D40" w:rsidP="004C104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B04A4">
      <w:rPr>
        <w:rStyle w:val="Numerstrony"/>
        <w:noProof/>
      </w:rPr>
      <w:t>36</w:t>
    </w:r>
    <w:r>
      <w:rPr>
        <w:rStyle w:val="Numerstrony"/>
      </w:rPr>
      <w:fldChar w:fldCharType="end"/>
    </w:r>
  </w:p>
  <w:p w14:paraId="28C841CD" w14:textId="77777777" w:rsidR="00467D40" w:rsidRDefault="00467D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31516" w14:textId="77777777" w:rsidR="00467D40" w:rsidRDefault="00467D40">
      <w:r>
        <w:separator/>
      </w:r>
    </w:p>
  </w:footnote>
  <w:footnote w:type="continuationSeparator" w:id="0">
    <w:p w14:paraId="06E75B2A" w14:textId="77777777" w:rsidR="00467D40" w:rsidRDefault="00467D40">
      <w:r>
        <w:continuationSeparator/>
      </w:r>
    </w:p>
  </w:footnote>
  <w:footnote w:id="1">
    <w:p w14:paraId="481B9C52" w14:textId="77777777" w:rsidR="00467D40" w:rsidRPr="00200AD8" w:rsidRDefault="00467D40" w:rsidP="00715D0D">
      <w:pPr>
        <w:pStyle w:val="Tekstprzypisudolnego"/>
        <w:rPr>
          <w:rFonts w:ascii="Bookman Old Style" w:hAnsi="Bookman Old Style"/>
        </w:rPr>
      </w:pPr>
      <w:r w:rsidRPr="00BC549F">
        <w:rPr>
          <w:rStyle w:val="Odwoanieprzypisudolnego"/>
          <w:rFonts w:ascii="Bookman Old Style" w:hAnsi="Bookman Old Style"/>
        </w:rPr>
        <w:footnoteRef/>
      </w:r>
      <w:r w:rsidRPr="00BC549F">
        <w:rPr>
          <w:rFonts w:ascii="Bookman Old Style" w:hAnsi="Bookman Old Style"/>
        </w:rPr>
        <w:t xml:space="preserve"> </w:t>
      </w:r>
      <w:r w:rsidRPr="00200AD8">
        <w:rPr>
          <w:rFonts w:ascii="Bookman Old Style" w:hAnsi="Bookman Old Style"/>
        </w:rPr>
        <w:t xml:space="preserve">M.in. A.Redelbach, </w:t>
      </w:r>
      <w:r w:rsidRPr="00200AD8">
        <w:rPr>
          <w:rFonts w:ascii="Bookman Old Style" w:hAnsi="Bookman Old Style"/>
          <w:i/>
        </w:rPr>
        <w:t xml:space="preserve">Prawo o notariacie Komentarz, </w:t>
      </w:r>
      <w:r w:rsidRPr="00200AD8">
        <w:rPr>
          <w:rFonts w:ascii="Bookman Old Style" w:hAnsi="Bookman Old Style"/>
        </w:rPr>
        <w:t>Toruń 2002, s. 204.</w:t>
      </w:r>
    </w:p>
  </w:footnote>
  <w:footnote w:id="2">
    <w:p w14:paraId="6648DB2A" w14:textId="77777777" w:rsidR="00467D40" w:rsidRPr="00200AD8" w:rsidRDefault="00467D40">
      <w:pPr>
        <w:pStyle w:val="Tekstprzypisudolnego"/>
        <w:rPr>
          <w:rFonts w:ascii="Bookman Old Style" w:hAnsi="Bookman Old Style"/>
        </w:rPr>
      </w:pPr>
      <w:r w:rsidRPr="00200AD8">
        <w:rPr>
          <w:rStyle w:val="Odwoanieprzypisudolnego"/>
          <w:rFonts w:ascii="Bookman Old Style" w:hAnsi="Bookman Old Style"/>
        </w:rPr>
        <w:footnoteRef/>
      </w:r>
      <w:r w:rsidRPr="00200AD8">
        <w:rPr>
          <w:rFonts w:ascii="Bookman Old Style" w:hAnsi="Bookman Old Style"/>
        </w:rPr>
        <w:t xml:space="preserve"> Por. uzasadnienie Projektu s. 3.</w:t>
      </w:r>
    </w:p>
  </w:footnote>
  <w:footnote w:id="3">
    <w:p w14:paraId="140CD13F" w14:textId="77777777" w:rsidR="00467D40" w:rsidRPr="00BC549F" w:rsidRDefault="00467D40" w:rsidP="001C3BC2">
      <w:pPr>
        <w:pStyle w:val="Tekstprzypisudolnego"/>
        <w:jc w:val="both"/>
        <w:rPr>
          <w:rFonts w:ascii="Bookman Old Style" w:hAnsi="Bookman Old Style"/>
        </w:rPr>
      </w:pPr>
      <w:r w:rsidRPr="00200AD8">
        <w:rPr>
          <w:rStyle w:val="Odwoanieprzypisudolnego"/>
          <w:rFonts w:ascii="Bookman Old Style" w:hAnsi="Bookman Old Style"/>
        </w:rPr>
        <w:footnoteRef/>
      </w:r>
      <w:r w:rsidRPr="00200AD8">
        <w:rPr>
          <w:rFonts w:ascii="Bookman Old Style" w:hAnsi="Bookman Old Style"/>
        </w:rPr>
        <w:t xml:space="preserve"> Zgodnie z </w:t>
      </w:r>
      <w:r w:rsidRPr="00200AD8">
        <w:rPr>
          <w:rFonts w:ascii="Bookman Old Style" w:hAnsi="Bookman Old Style"/>
          <w:color w:val="000000"/>
          <w:shd w:val="clear" w:color="auto" w:fill="FFFFFF"/>
        </w:rPr>
        <w:t>zasadą określoną w sentencji </w:t>
      </w:r>
      <w:r w:rsidRPr="00200AD8">
        <w:rPr>
          <w:rFonts w:ascii="Bookman Old Style" w:hAnsi="Bookman Old Style"/>
          <w:i/>
          <w:iCs/>
          <w:color w:val="000000"/>
          <w:shd w:val="clear" w:color="auto" w:fill="FFFFFF"/>
        </w:rPr>
        <w:t>nihil prius fide </w:t>
      </w:r>
      <w:r w:rsidRPr="00200AD8">
        <w:rPr>
          <w:rFonts w:ascii="Bookman Old Style" w:hAnsi="Bookman Old Style"/>
          <w:color w:val="000000"/>
          <w:shd w:val="clear" w:color="auto" w:fill="FFFFFF"/>
        </w:rPr>
        <w:t xml:space="preserve">(nic ponad (dobrą) wiarę), będącą naczelną zasadą notariatu </w:t>
      </w:r>
      <w:r>
        <w:rPr>
          <w:rFonts w:ascii="Bookman Old Style" w:hAnsi="Bookman Old Style"/>
          <w:color w:val="000000"/>
          <w:shd w:val="clear" w:color="auto" w:fill="FFFFFF"/>
        </w:rPr>
        <w:t>łacińskiego</w:t>
      </w:r>
      <w:r w:rsidRPr="00BC549F">
        <w:rPr>
          <w:rFonts w:ascii="Bookman Old Style" w:hAnsi="Bookman Old Style"/>
          <w:color w:val="000000"/>
          <w:shd w:val="clear" w:color="auto" w:fill="FFFFFF"/>
        </w:rPr>
        <w:t>.</w:t>
      </w:r>
    </w:p>
  </w:footnote>
  <w:footnote w:id="4">
    <w:p w14:paraId="4AC42272" w14:textId="5A798A41" w:rsidR="00467D40" w:rsidRDefault="00467D40" w:rsidP="00DC0094">
      <w:pPr>
        <w:pStyle w:val="Tekstprzypisudolnego"/>
      </w:pPr>
      <w:r>
        <w:rPr>
          <w:rStyle w:val="Odwoanieprzypisudolnego"/>
        </w:rPr>
        <w:footnoteRef/>
      </w:r>
      <w:r>
        <w:t xml:space="preserve"> por. m. in. wyr. SN z dnia 29 maja 1990 r., w sprawie III CZP 29/90 (OSNCAP 1990, nr 12, poz. 15</w:t>
      </w:r>
      <w:r w:rsidR="00970D4A">
        <w:t>).</w:t>
      </w:r>
    </w:p>
  </w:footnote>
  <w:footnote w:id="5">
    <w:p w14:paraId="616A50F8" w14:textId="77777777" w:rsidR="00467D40" w:rsidRDefault="00467D40" w:rsidP="00DC0094">
      <w:pPr>
        <w:pStyle w:val="Tekstprzypisudolnego"/>
      </w:pPr>
      <w:r>
        <w:rPr>
          <w:rStyle w:val="Odwoanieprzypisudolnego"/>
        </w:rPr>
        <w:footnoteRef/>
      </w:r>
      <w:r>
        <w:t xml:space="preserve"> M.K. Kolasiński Odpowiedzialność cywilna notariusza. Toruń 2005, s. 39.</w:t>
      </w:r>
    </w:p>
  </w:footnote>
  <w:footnote w:id="6">
    <w:p w14:paraId="46B126F7" w14:textId="77777777" w:rsidR="00467D40" w:rsidRDefault="00467D40" w:rsidP="003F6ECF">
      <w:pPr>
        <w:pStyle w:val="Tekstprzypisudolnego"/>
      </w:pPr>
      <w:r>
        <w:rPr>
          <w:rStyle w:val="Odwoanieprzypisudolnego"/>
        </w:rPr>
        <w:footnoteRef/>
      </w:r>
      <w:r>
        <w:t xml:space="preserve"> Legalis numer 1839275.</w:t>
      </w:r>
    </w:p>
  </w:footnote>
  <w:footnote w:id="7">
    <w:p w14:paraId="1530A8A6" w14:textId="77777777" w:rsidR="00467D40" w:rsidRDefault="00467D40" w:rsidP="000F586E">
      <w:pPr>
        <w:pStyle w:val="Tekstprzypisudolnego"/>
      </w:pPr>
      <w:r>
        <w:rPr>
          <w:rStyle w:val="Odwoanieprzypisudolnego"/>
        </w:rPr>
        <w:footnoteRef/>
      </w:r>
      <w:r>
        <w:t xml:space="preserve"> por. uzasadnienie do projektu ustawy, s. 17.</w:t>
      </w:r>
    </w:p>
  </w:footnote>
  <w:footnote w:id="8">
    <w:p w14:paraId="06C2B6C2" w14:textId="77777777" w:rsidR="00467D40" w:rsidRDefault="00467D40" w:rsidP="004F2E16">
      <w:pPr>
        <w:pStyle w:val="Tekstprzypisudolnego"/>
      </w:pPr>
      <w:r>
        <w:rPr>
          <w:rStyle w:val="Odwoanieprzypisudolnego"/>
        </w:rPr>
        <w:footnoteRef/>
      </w:r>
      <w:r>
        <w:t xml:space="preserve"> Por. Wyrok SA w Łodzi z 25.03.2014 r., II AKa 6/14, LEX nr 1444757.</w:t>
      </w:r>
    </w:p>
  </w:footnote>
  <w:footnote w:id="9">
    <w:p w14:paraId="76E9EAC5"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Por. A. Wilkowska-Płóciennik[w:] A. Szereda (red.) Praxis. Notariat. Czynności notarialne, Warszawa 2021, s. 50</w:t>
      </w:r>
    </w:p>
  </w:footnote>
  <w:footnote w:id="10">
    <w:p w14:paraId="06E06D8C" w14:textId="77777777" w:rsidR="00467D40" w:rsidRPr="00606B10" w:rsidRDefault="00467D40" w:rsidP="00461B4F">
      <w:pPr>
        <w:pStyle w:val="Tekstprzypisudolnego"/>
        <w:jc w:val="both"/>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wyrok TK z 8.12.1998 r. K41/97, OTK ZU 1998/7/117</w:t>
      </w:r>
    </w:p>
  </w:footnote>
  <w:footnote w:id="11">
    <w:p w14:paraId="6AD74F93"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t>
      </w:r>
      <w:r w:rsidRPr="00606B10">
        <w:rPr>
          <w:rFonts w:ascii="Times New Roman" w:eastAsia="Times New Roman" w:hAnsi="Times New Roman"/>
          <w:lang w:eastAsia="pl-PL"/>
        </w:rPr>
        <w:t>zob. wyr. TK: z 8.12.1998 r., K 41/97, OTK 1998, Nr 7, poz. 117; z 11.9.2001 r., SK 17/00, OTK 2001, Nr 6, poz. 165; z 4.3.2008 r., SK 3/07, OTK-A 2008, Nr 2, poz. 25; z 2.9.2008 r., K 35/06, OTK-A 2008, Nr 7, poz. 120; z 11.12.2008 r., K 33/07, OTK-A 2008, Nr 10, poz. 177; z 17.2.2009 r., SK 10/07, OTK-A 2009, Nr 2, poz. 8; z 17.11.2009 r., SK 64/08, OTK-A 2009, Nr 10, poz. 148). W wyr. z 8.12.1998 r. (K 41/97, OTK 1998, Nr 7, poz. 117</w:t>
      </w:r>
      <w:r>
        <w:rPr>
          <w:rFonts w:ascii="Times New Roman" w:eastAsia="Times New Roman" w:hAnsi="Times New Roman"/>
          <w:lang w:eastAsia="pl-PL"/>
        </w:rPr>
        <w:t>.</w:t>
      </w:r>
    </w:p>
  </w:footnote>
  <w:footnote w:id="12">
    <w:p w14:paraId="6114B1B0"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Szerzej na ten temat A. Wilkowska-Płóciennik Rola rady izby notarialnej w postępowaniu dyscyplinarnym. Uwagi </w:t>
      </w:r>
      <w:r w:rsidRPr="00606B10">
        <w:rPr>
          <w:rFonts w:ascii="Times New Roman" w:hAnsi="Times New Roman"/>
          <w:i/>
        </w:rPr>
        <w:t>de lege ferenda</w:t>
      </w:r>
      <w:r w:rsidRPr="00606B10">
        <w:rPr>
          <w:rFonts w:ascii="Times New Roman" w:hAnsi="Times New Roman"/>
        </w:rPr>
        <w:t>. Krakowski Przegląd Notarialny, nr 1/2022, s. 57 i n.</w:t>
      </w:r>
    </w:p>
  </w:footnote>
  <w:footnote w:id="13">
    <w:p w14:paraId="71F18D5E"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Por. też </w:t>
      </w:r>
      <w:r w:rsidRPr="0037787E">
        <w:rPr>
          <w:rFonts w:ascii="Bookman Old Style" w:eastAsia="Times New Roman" w:hAnsi="Bookman Old Style"/>
          <w:lang w:eastAsia="pl-PL"/>
        </w:rPr>
        <w:t>post. SN z 7.02.2014 r. (VI KZ 1/14, KZS 2014, Nr 5, poz. 59)</w:t>
      </w:r>
      <w:r>
        <w:rPr>
          <w:rFonts w:ascii="Bookman Old Style" w:eastAsia="Times New Roman" w:hAnsi="Bookman Old Style"/>
          <w:lang w:eastAsia="pl-PL"/>
        </w:rPr>
        <w:t>.</w:t>
      </w:r>
    </w:p>
  </w:footnote>
  <w:footnote w:id="14">
    <w:p w14:paraId="5AC94695"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w:t>
      </w:r>
      <w:r w:rsidRPr="0037787E">
        <w:rPr>
          <w:rFonts w:ascii="Bookman Old Style" w:eastAsia="Times New Roman" w:hAnsi="Bookman Old Style"/>
          <w:lang w:eastAsia="pl-PL"/>
        </w:rPr>
        <w:t>zob. wyr. SN z 18.6.2015 r., SNO 31/15, Legalis; wyr. SN z 26.4.2017 r., SNO 6/17, Legalis</w:t>
      </w:r>
      <w:r>
        <w:rPr>
          <w:rFonts w:ascii="Bookman Old Style" w:eastAsia="Times New Roman" w:hAnsi="Bookman Old Style"/>
          <w:lang w:eastAsia="pl-PL"/>
        </w:rPr>
        <w:t>.</w:t>
      </w:r>
    </w:p>
  </w:footnote>
  <w:footnote w:id="15">
    <w:p w14:paraId="76A5B0A5"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w:t>
      </w:r>
      <w:r w:rsidRPr="0037787E">
        <w:rPr>
          <w:rFonts w:ascii="Bookman Old Style" w:eastAsia="Times New Roman" w:hAnsi="Bookman Old Style"/>
          <w:lang w:eastAsia="pl-PL"/>
        </w:rPr>
        <w:t>zob. wyr. SN z 5.4.2018 r., SDI 129/17, Legalis</w:t>
      </w:r>
      <w:r>
        <w:rPr>
          <w:rFonts w:ascii="Bookman Old Style" w:eastAsia="Times New Roman" w:hAnsi="Bookman Old Style"/>
          <w:lang w:eastAsia="pl-PL"/>
        </w:rPr>
        <w:t>.</w:t>
      </w:r>
    </w:p>
  </w:footnote>
  <w:footnote w:id="16">
    <w:p w14:paraId="4D76A712" w14:textId="77777777"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por. wyr. SN z dnia 9.1.1995 r., SD 1/94, także post. SN z </w:t>
      </w:r>
      <w:r w:rsidRPr="00606B10">
        <w:rPr>
          <w:rStyle w:val="Dokumnetpodstawowy"/>
          <w:rFonts w:ascii="Times New Roman" w:hAnsi="Times New Roman"/>
        </w:rPr>
        <w:t>24 września 2019 r., DSI 53/19</w:t>
      </w:r>
      <w:r>
        <w:rPr>
          <w:rStyle w:val="Dokumnetpodstawowy"/>
          <w:rFonts w:ascii="Times New Roman" w:hAnsi="Times New Roman"/>
        </w:rPr>
        <w:t>.</w:t>
      </w:r>
    </w:p>
  </w:footnote>
  <w:footnote w:id="17">
    <w:p w14:paraId="5BF44490" w14:textId="17E67C72"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t>
      </w:r>
      <w:r w:rsidRPr="00606B10">
        <w:rPr>
          <w:rFonts w:ascii="Times New Roman" w:eastAsia="Times New Roman" w:hAnsi="Times New Roman"/>
          <w:lang w:eastAsia="pl-PL"/>
        </w:rPr>
        <w:t xml:space="preserve">P. Skuczyński, </w:t>
      </w:r>
      <w:r w:rsidRPr="00606B10">
        <w:rPr>
          <w:rFonts w:ascii="Times New Roman" w:hAnsi="Times New Roman"/>
        </w:rPr>
        <w:t>Aktualne problemy odpowiedzialności dyscyplinarnej w zawodach prawniczych (w:) Postępowania dyscyplinarne w zawodach prawniczych. Model ustrojowy i praktyka, A. Bodnar, P. Kubaszewski (red.), Warszawa 2013</w:t>
      </w:r>
      <w:r w:rsidRPr="00606B10">
        <w:rPr>
          <w:rFonts w:ascii="Times New Roman" w:eastAsia="Times New Roman" w:hAnsi="Times New Roman"/>
          <w:lang w:eastAsia="pl-PL"/>
        </w:rPr>
        <w:t>, s. 64</w:t>
      </w:r>
      <w:r>
        <w:rPr>
          <w:rFonts w:ascii="Times New Roman" w:eastAsia="Times New Roman" w:hAnsi="Times New Roman"/>
          <w:lang w:eastAsia="pl-PL"/>
        </w:rPr>
        <w:t>.</w:t>
      </w:r>
    </w:p>
  </w:footnote>
  <w:footnote w:id="18">
    <w:p w14:paraId="44F73F26" w14:textId="0AB57EA8" w:rsidR="00467D40" w:rsidRPr="00606B10" w:rsidRDefault="00467D40" w:rsidP="00461B4F">
      <w:pPr>
        <w:pStyle w:val="Tekstprzypisudolnego"/>
        <w:rPr>
          <w:rFonts w:ascii="Times New Roman" w:hAnsi="Times New Roman"/>
        </w:rPr>
      </w:pPr>
      <w:r w:rsidRPr="00606B10">
        <w:rPr>
          <w:rStyle w:val="Odwoanieprzypisudolnego"/>
          <w:rFonts w:ascii="Times New Roman" w:hAnsi="Times New Roman"/>
        </w:rPr>
        <w:footnoteRef/>
      </w:r>
      <w:r w:rsidRPr="00606B10">
        <w:rPr>
          <w:rFonts w:ascii="Times New Roman" w:hAnsi="Times New Roman"/>
        </w:rPr>
        <w:t xml:space="preserve"> wyr SN z </w:t>
      </w:r>
      <w:r w:rsidR="00970D4A" w:rsidRPr="00606B10">
        <w:rPr>
          <w:rFonts w:ascii="Times New Roman" w:hAnsi="Times New Roman"/>
        </w:rPr>
        <w:t>3.10.2013</w:t>
      </w:r>
      <w:r w:rsidRPr="00606B10">
        <w:rPr>
          <w:rFonts w:ascii="Times New Roman" w:hAnsi="Times New Roman"/>
        </w:rPr>
        <w:t xml:space="preserve"> (SNO 24/13 opubl. OSNSD 2013/2), wyr. SN z 14.4.2015 r. (SNO 16/15, Legalis nr 1218780)</w:t>
      </w:r>
      <w:r>
        <w:rPr>
          <w:rFonts w:ascii="Times New Roman" w:hAnsi="Times New Roman"/>
        </w:rPr>
        <w:t>.</w:t>
      </w:r>
    </w:p>
  </w:footnote>
  <w:footnote w:id="19">
    <w:p w14:paraId="5C3E71CA" w14:textId="77777777" w:rsidR="00467D40" w:rsidRDefault="00467D40" w:rsidP="00461B4F">
      <w:pPr>
        <w:pStyle w:val="Tekstprzypisudolnego"/>
      </w:pPr>
      <w:r>
        <w:rPr>
          <w:rStyle w:val="Odwoanieprzypisudolnego"/>
        </w:rPr>
        <w:footnoteRef/>
      </w:r>
      <w:r>
        <w:t xml:space="preserve"> Por. uzasadnienie do projektu ustawy, s. 22.</w:t>
      </w:r>
    </w:p>
  </w:footnote>
  <w:footnote w:id="20">
    <w:p w14:paraId="62A03C2E" w14:textId="77777777" w:rsidR="00467D40" w:rsidRDefault="00467D40" w:rsidP="00461B4F">
      <w:pPr>
        <w:pStyle w:val="Tekstprzypisudolnego"/>
      </w:pPr>
      <w:r>
        <w:rPr>
          <w:rStyle w:val="Odwoanieprzypisudolnego"/>
        </w:rPr>
        <w:footnoteRef/>
      </w:r>
      <w:r>
        <w:t xml:space="preserve"> Uzasadnienie do projektu ustawy, s. 24.</w:t>
      </w:r>
    </w:p>
  </w:footnote>
  <w:footnote w:id="21">
    <w:p w14:paraId="38319CD5" w14:textId="77777777" w:rsidR="00467D40" w:rsidRDefault="00467D40" w:rsidP="00461B4F">
      <w:pPr>
        <w:pStyle w:val="Tekstprzypisudolnego"/>
      </w:pPr>
      <w:r>
        <w:rPr>
          <w:rStyle w:val="Odwoanieprzypisudolnego"/>
        </w:rPr>
        <w:footnoteRef/>
      </w:r>
      <w:r>
        <w:t xml:space="preserve"> K. Ceglarska-Piłat, M. Zbrojewska [w:] </w:t>
      </w:r>
      <w:r>
        <w:rPr>
          <w:i/>
          <w:iCs/>
        </w:rPr>
        <w:t>Prawo o adwokaturze. Komentarz</w:t>
      </w:r>
      <w:r>
        <w:t>, red. P. Kruszyński, Warszawa 2016, art. 95(c).</w:t>
      </w:r>
    </w:p>
  </w:footnote>
  <w:footnote w:id="22">
    <w:p w14:paraId="625A7556"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Zob. R. </w:t>
      </w:r>
      <w:r w:rsidRPr="0037787E">
        <w:rPr>
          <w:rFonts w:ascii="Bookman Old Style" w:hAnsi="Bookman Old Style"/>
          <w:iCs/>
        </w:rPr>
        <w:t>Reiwer</w:t>
      </w:r>
      <w:r w:rsidRPr="0037787E">
        <w:rPr>
          <w:rFonts w:ascii="Bookman Old Style" w:hAnsi="Bookman Old Style"/>
        </w:rPr>
        <w:t xml:space="preserve"> (red.), Ustawa o komornikach sądowych. Komentarz [w:] </w:t>
      </w:r>
      <w:r w:rsidRPr="0037787E">
        <w:rPr>
          <w:rFonts w:ascii="Bookman Old Style" w:hAnsi="Bookman Old Style"/>
          <w:iCs/>
        </w:rPr>
        <w:t>R. Reiwer</w:t>
      </w:r>
      <w:r w:rsidRPr="0037787E">
        <w:rPr>
          <w:rFonts w:ascii="Bookman Old Style" w:hAnsi="Bookman Old Style"/>
        </w:rPr>
        <w:t xml:space="preserve"> (red.), Ustawa o komornikach sądowych. Ustawa o kosztach komorniczych. Komentarz, Warszawa 2019, Komentarz do art. 236, nb 4 Legalis</w:t>
      </w:r>
      <w:r>
        <w:rPr>
          <w:rFonts w:ascii="Bookman Old Style" w:hAnsi="Bookman Old Style"/>
        </w:rPr>
        <w:t>.</w:t>
      </w:r>
      <w:r w:rsidRPr="0037787E">
        <w:rPr>
          <w:rFonts w:ascii="Bookman Old Style" w:hAnsi="Bookman Old Style"/>
        </w:rPr>
        <w:t xml:space="preserve"> </w:t>
      </w:r>
    </w:p>
  </w:footnote>
  <w:footnote w:id="23">
    <w:p w14:paraId="43545BE7" w14:textId="77777777" w:rsidR="00467D40" w:rsidRPr="0037787E" w:rsidRDefault="00467D40" w:rsidP="000E5172">
      <w:pPr>
        <w:pStyle w:val="Tekstprzypisudolnego"/>
        <w:jc w:val="both"/>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Na co zwraca uwagę raport Instytutu Wymiaru Sprawiedliwości </w:t>
      </w:r>
      <w:r w:rsidRPr="00C62B29">
        <w:rPr>
          <w:rFonts w:ascii="Bookman Old Style" w:hAnsi="Bookman Old Style"/>
        </w:rPr>
        <w:t>patrz A. Łukaszewicz Informatyzacji hipoteki: na wpis do księgi wieczystej trzeba czekać nawe</w:t>
      </w:r>
      <w:r w:rsidRPr="0037787E">
        <w:rPr>
          <w:rFonts w:ascii="Bookman Old Style" w:hAnsi="Bookman Old Style"/>
        </w:rPr>
        <w:t>t rok Rzeczpospolita 27.05.2022, podobnie P. Siciński – Polskie koncepcje modernizacji ksiąg wieczystych a europejska koncepcja integracji rejestrów, cz. I Nieruchomości 5/2022</w:t>
      </w:r>
      <w:r>
        <w:rPr>
          <w:rFonts w:ascii="Bookman Old Style" w:hAnsi="Bookman Old Style"/>
        </w:rPr>
        <w:t>.</w:t>
      </w:r>
    </w:p>
  </w:footnote>
  <w:footnote w:id="24">
    <w:p w14:paraId="165689D5"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Patrz raport opublikowany w roku 1998 r. przez Law Commision i Land Registy – opisany szczegółowo przez P. Blajera w monografii Rejestry Nieruchomości studium prawnoporównawcze, CH Beck, Warszawa 2018, rozdział Automatyzacji rejestrów nieruchomości w modelu title registration.</w:t>
      </w:r>
    </w:p>
  </w:footnote>
  <w:footnote w:id="25">
    <w:p w14:paraId="10F26CD9" w14:textId="77777777" w:rsidR="00467D40" w:rsidRPr="0037787E" w:rsidRDefault="00467D40" w:rsidP="00461B4F">
      <w:pPr>
        <w:pStyle w:val="Tekstprzypisudolnego"/>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Przytoczone w niniejszym tekście poglądy referendarzy pochodzą w większości z pisma Prezesa Sądu Okręgowego w Gdańsku z dnia 7 kwietnia 2022 r. skierowanego do Departamentu legislacyjnego Prawa Cywilnego Ministerstwa Sprawiedliwości, ale można je, jak się wydaje, przyjąć za podzielane przez ogół referendarzy sądowych.</w:t>
      </w:r>
    </w:p>
  </w:footnote>
  <w:footnote w:id="26">
    <w:p w14:paraId="3F468AB6" w14:textId="526481FC" w:rsidR="00467D40" w:rsidRPr="0037787E" w:rsidRDefault="00467D40" w:rsidP="00461B4F">
      <w:pPr>
        <w:pStyle w:val="Tekstprzypisudolnego"/>
        <w:rPr>
          <w:rFonts w:ascii="Bookman Old Style" w:hAnsi="Bookman Old Style"/>
        </w:rPr>
      </w:pPr>
      <w:r w:rsidRPr="0037787E">
        <w:rPr>
          <w:rStyle w:val="Brak"/>
          <w:rFonts w:ascii="Bookman Old Style" w:eastAsia="Times New Roman" w:hAnsi="Bookman Old Style"/>
          <w:vertAlign w:val="superscript"/>
        </w:rPr>
        <w:footnoteRef/>
      </w:r>
      <w:r w:rsidRPr="0037787E">
        <w:rPr>
          <w:rStyle w:val="Brak"/>
          <w:rFonts w:ascii="Bookman Old Style" w:hAnsi="Bookman Old Style"/>
        </w:rPr>
        <w:t xml:space="preserve"> Zob. post. SN z 25.9.2020 r., V CSK 434/18, zgodnie z którym notariusz nie ma prawa złożyć wniosku wieczystoksięgowego, jeżeli przedmiotem aktu jest tylko stwierdzenie dziedziczenia nieruchomości, a nie zbycie, nabycie lub zrzeczenie się prawa do niej.</w:t>
      </w:r>
    </w:p>
  </w:footnote>
  <w:footnote w:id="27">
    <w:p w14:paraId="104445B5" w14:textId="77777777" w:rsidR="00467D40" w:rsidRPr="0037787E" w:rsidRDefault="00467D40" w:rsidP="00461B4F">
      <w:pPr>
        <w:pStyle w:val="Tekstprzypisudolnego"/>
        <w:rPr>
          <w:rFonts w:ascii="Bookman Old Style" w:hAnsi="Bookman Old Style"/>
        </w:rPr>
      </w:pPr>
      <w:r w:rsidRPr="0037787E">
        <w:rPr>
          <w:rStyle w:val="Brak"/>
          <w:rFonts w:ascii="Bookman Old Style" w:eastAsia="Times New Roman" w:hAnsi="Bookman Old Style"/>
          <w:vertAlign w:val="superscript"/>
        </w:rPr>
        <w:footnoteRef/>
      </w:r>
      <w:r w:rsidRPr="0037787E">
        <w:rPr>
          <w:rStyle w:val="Brak"/>
          <w:rFonts w:ascii="Bookman Old Style" w:eastAsia="Arial Unicode MS" w:hAnsi="Bookman Old Style"/>
        </w:rPr>
        <w:t xml:space="preserve"> </w:t>
      </w:r>
      <w:r w:rsidRPr="0037787E">
        <w:rPr>
          <w:rStyle w:val="Brak"/>
          <w:rFonts w:ascii="Bookman Old Style" w:hAnsi="Bookman Old Style"/>
        </w:rPr>
        <w:t xml:space="preserve">Za dopuszczalnością, wypowiedziała się także </w:t>
      </w:r>
      <w:r w:rsidRPr="0037787E">
        <w:rPr>
          <w:rStyle w:val="Brak"/>
          <w:rFonts w:ascii="Bookman Old Style" w:hAnsi="Bookman Old Style"/>
          <w:iCs/>
        </w:rPr>
        <w:t>G. Magdziarz,</w:t>
      </w:r>
      <w:r w:rsidRPr="0037787E">
        <w:rPr>
          <w:rStyle w:val="Brak"/>
          <w:rFonts w:ascii="Bookman Old Style" w:hAnsi="Bookman Old Style"/>
        </w:rPr>
        <w:t xml:space="preserve"> </w:t>
      </w:r>
      <w:r w:rsidRPr="0037787E">
        <w:rPr>
          <w:rStyle w:val="Brak"/>
          <w:rFonts w:ascii="Bookman Old Style" w:hAnsi="Bookman Old Style"/>
          <w:i/>
        </w:rPr>
        <w:t>Elektroniczny wniosek</w:t>
      </w:r>
      <w:r w:rsidRPr="0037787E">
        <w:rPr>
          <w:rStyle w:val="Brak"/>
          <w:rFonts w:ascii="Bookman Old Style" w:hAnsi="Bookman Old Style"/>
        </w:rPr>
        <w:t>, s. 77 i n.; por. również P.Biernacki</w:t>
      </w:r>
      <w:r w:rsidRPr="0037787E">
        <w:rPr>
          <w:rFonts w:ascii="Bookman Old Style" w:eastAsia="Arial Unicode MS" w:hAnsi="Bookman Old Style"/>
        </w:rPr>
        <w:t xml:space="preserve">, Złożenie przez notariusza; </w:t>
      </w:r>
      <w:r w:rsidRPr="0037787E">
        <w:rPr>
          <w:rFonts w:ascii="Bookman Old Style" w:eastAsia="Arial Unicode MS" w:hAnsi="Bookman Old Style"/>
          <w:iCs/>
        </w:rPr>
        <w:t>A.J. Szereda,</w:t>
      </w:r>
      <w:r w:rsidRPr="0037787E">
        <w:rPr>
          <w:rFonts w:ascii="Bookman Old Style" w:eastAsia="Arial Unicode MS" w:hAnsi="Bookman Old Style"/>
        </w:rPr>
        <w:t xml:space="preserve"> [w:] </w:t>
      </w:r>
      <w:r w:rsidRPr="0037787E">
        <w:rPr>
          <w:rStyle w:val="Brak"/>
          <w:rFonts w:ascii="Bookman Old Style" w:hAnsi="Bookman Old Style"/>
        </w:rPr>
        <w:t>A. Marciniak</w:t>
      </w:r>
      <w:r w:rsidRPr="0037787E">
        <w:rPr>
          <w:rFonts w:ascii="Bookman Old Style" w:eastAsia="Arial Unicode MS" w:hAnsi="Bookman Old Style"/>
        </w:rPr>
        <w:t xml:space="preserve"> (red.), </w:t>
      </w:r>
      <w:r w:rsidRPr="0037787E">
        <w:rPr>
          <w:rFonts w:ascii="Bookman Old Style" w:eastAsia="Arial Unicode MS" w:hAnsi="Bookman Old Style"/>
          <w:i/>
          <w:iCs/>
        </w:rPr>
        <w:t>Kodeks postępowania cywilnego</w:t>
      </w:r>
      <w:r w:rsidRPr="0037787E">
        <w:rPr>
          <w:rFonts w:ascii="Bookman Old Style" w:eastAsia="Arial Unicode MS" w:hAnsi="Bookman Old Style"/>
        </w:rPr>
        <w:t>, t. III, art. 626</w:t>
      </w:r>
      <w:r w:rsidRPr="0037787E">
        <w:rPr>
          <w:rFonts w:ascii="Bookman Old Style" w:eastAsia="Arial Unicode MS" w:hAnsi="Bookman Old Style"/>
          <w:vertAlign w:val="superscript"/>
        </w:rPr>
        <w:t>4</w:t>
      </w:r>
      <w:r w:rsidRPr="0037787E">
        <w:rPr>
          <w:rFonts w:ascii="Bookman Old Style" w:eastAsia="Arial Unicode MS" w:hAnsi="Bookman Old Style"/>
        </w:rPr>
        <w:t>, Nb 11.</w:t>
      </w:r>
    </w:p>
  </w:footnote>
  <w:footnote w:id="28">
    <w:p w14:paraId="2632DF36" w14:textId="77777777" w:rsidR="00467D40" w:rsidRPr="0037787E" w:rsidRDefault="00467D40" w:rsidP="00461B4F">
      <w:pPr>
        <w:pStyle w:val="Tekstprzypisudolnego"/>
        <w:rPr>
          <w:rFonts w:ascii="Bookman Old Style" w:hAnsi="Bookman Old Style"/>
        </w:rPr>
      </w:pPr>
      <w:r w:rsidRPr="0037787E">
        <w:rPr>
          <w:rStyle w:val="Brak"/>
          <w:rFonts w:ascii="Bookman Old Style" w:eastAsia="Times New Roman" w:hAnsi="Bookman Old Style"/>
          <w:vertAlign w:val="superscript"/>
        </w:rPr>
        <w:footnoteRef/>
      </w:r>
      <w:r w:rsidRPr="0037787E">
        <w:rPr>
          <w:rStyle w:val="Brak"/>
          <w:rFonts w:ascii="Bookman Old Style" w:eastAsia="Arial Unicode MS" w:hAnsi="Bookman Old Style"/>
        </w:rPr>
        <w:t xml:space="preserve"> </w:t>
      </w:r>
      <w:r w:rsidRPr="0037787E">
        <w:rPr>
          <w:rStyle w:val="Brak"/>
          <w:rFonts w:ascii="Bookman Old Style" w:hAnsi="Bookman Old Style"/>
        </w:rPr>
        <w:t>Krakowski Przegląd Notarialny 2/2017, s. 81 i n.</w:t>
      </w:r>
    </w:p>
  </w:footnote>
  <w:footnote w:id="29">
    <w:p w14:paraId="08A9E5C6" w14:textId="77777777" w:rsidR="00467D40" w:rsidRPr="0037787E" w:rsidRDefault="00467D40" w:rsidP="00F233E6">
      <w:pPr>
        <w:pStyle w:val="Tekstprzypisudolnego"/>
        <w:jc w:val="both"/>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Według strony https://e-</w:t>
      </w:r>
      <w:r>
        <w:rPr>
          <w:rFonts w:ascii="Bookman Old Style" w:hAnsi="Bookman Old Style"/>
        </w:rPr>
        <w:t>j</w:t>
      </w:r>
      <w:r w:rsidRPr="0037787E">
        <w:rPr>
          <w:rFonts w:ascii="Bookman Old Style" w:hAnsi="Bookman Old Style"/>
        </w:rPr>
        <w:t>ustice.europa.eu/109/PL/land_registers_in_eu_countries?HUNGARY&amp;member=1, na dzień 25 marca 2022 r., przy czym można podejrzewać, że było to raczej konsekwencją ówczesnego ustroju społeczno-gospodarczego niż wynikiem dążenia ku nowoczesności.</w:t>
      </w:r>
    </w:p>
  </w:footnote>
  <w:footnote w:id="30">
    <w:p w14:paraId="78E09785" w14:textId="77777777" w:rsidR="00467D40" w:rsidRPr="0037787E" w:rsidRDefault="00467D40" w:rsidP="008755CF">
      <w:pPr>
        <w:pStyle w:val="Tekstprzypisudolnego"/>
        <w:jc w:val="both"/>
        <w:rPr>
          <w:rFonts w:ascii="Bookman Old Style" w:hAnsi="Bookman Old Style"/>
        </w:rPr>
      </w:pPr>
      <w:r w:rsidRPr="0037787E">
        <w:rPr>
          <w:rStyle w:val="Odwoanieprzypisudolnego"/>
          <w:rFonts w:ascii="Bookman Old Style" w:hAnsi="Bookman Old Style"/>
        </w:rPr>
        <w:footnoteRef/>
      </w:r>
      <w:r w:rsidRPr="0037787E">
        <w:rPr>
          <w:rFonts w:ascii="Bookman Old Style" w:hAnsi="Bookman Old Style"/>
        </w:rPr>
        <w:t xml:space="preserve"> Z zastrzeżeniem oczywiście uwag zgłoszonych przez Krajową Radę Notarialną – sprowadzających się do podniesienia, że obowiązujące przepisy, to jest art. 92a Prawa o notariacie, przewiduje zamknięty katalog aktów podlegających zarejestrowaniu w Centralnym Repozytorium Elektronicznych Wypisów Aktów Notarialnych, tym samym </w:t>
      </w:r>
      <w:r w:rsidRPr="0037787E">
        <w:rPr>
          <w:rFonts w:ascii="Bookman Old Style" w:hAnsi="Bookman Old Style"/>
          <w:i/>
          <w:iCs/>
        </w:rPr>
        <w:t>de lege lata</w:t>
      </w:r>
      <w:r w:rsidRPr="0037787E">
        <w:rPr>
          <w:rFonts w:ascii="Bookman Old Style" w:hAnsi="Bookman Old Style"/>
        </w:rPr>
        <w:t xml:space="preserve"> nie ma podstaw do zarejestrowania w tym repozytorium oświadczenia o skorzystaniu z prawa pierwokupu – co wydaje się błędem legislacyjnym łatwym do usunięcia, nawet przy okazji proponowanej nowej regulacji – zwłaszcza gdyby podzielić poglądy o takiej formie odwołania do dokumentu elektronicznego stanowiącego podstawę wpisu w księgach wieczystych.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F5ADB"/>
    <w:multiLevelType w:val="hybridMultilevel"/>
    <w:tmpl w:val="D688B306"/>
    <w:lvl w:ilvl="0" w:tplc="D47669C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6E7786"/>
    <w:multiLevelType w:val="hybridMultilevel"/>
    <w:tmpl w:val="7BE44D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F856C4"/>
    <w:multiLevelType w:val="hybridMultilevel"/>
    <w:tmpl w:val="16CCCE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C167AC"/>
    <w:multiLevelType w:val="hybridMultilevel"/>
    <w:tmpl w:val="FBBAB43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B24EEE"/>
    <w:multiLevelType w:val="hybridMultilevel"/>
    <w:tmpl w:val="8FC4C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0A2807"/>
    <w:multiLevelType w:val="hybridMultilevel"/>
    <w:tmpl w:val="46464C16"/>
    <w:lvl w:ilvl="0" w:tplc="4FC83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849754437">
    <w:abstractNumId w:val="3"/>
  </w:num>
  <w:num w:numId="2" w16cid:durableId="1046024426">
    <w:abstractNumId w:val="4"/>
  </w:num>
  <w:num w:numId="3" w16cid:durableId="1909028646">
    <w:abstractNumId w:val="1"/>
  </w:num>
  <w:num w:numId="4" w16cid:durableId="661783337">
    <w:abstractNumId w:val="5"/>
  </w:num>
  <w:num w:numId="5" w16cid:durableId="798374921">
    <w:abstractNumId w:val="2"/>
  </w:num>
  <w:num w:numId="6" w16cid:durableId="2012951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98F"/>
    <w:rsid w:val="0000330E"/>
    <w:rsid w:val="00015B74"/>
    <w:rsid w:val="00026930"/>
    <w:rsid w:val="00031A06"/>
    <w:rsid w:val="00041486"/>
    <w:rsid w:val="00043C94"/>
    <w:rsid w:val="00043C96"/>
    <w:rsid w:val="00056587"/>
    <w:rsid w:val="000661CA"/>
    <w:rsid w:val="00067ED5"/>
    <w:rsid w:val="00074EC2"/>
    <w:rsid w:val="0007799E"/>
    <w:rsid w:val="00083742"/>
    <w:rsid w:val="00085101"/>
    <w:rsid w:val="00087D26"/>
    <w:rsid w:val="0009348D"/>
    <w:rsid w:val="00095FBC"/>
    <w:rsid w:val="000A5FCC"/>
    <w:rsid w:val="000A61C7"/>
    <w:rsid w:val="000B04D3"/>
    <w:rsid w:val="000B097B"/>
    <w:rsid w:val="000B593F"/>
    <w:rsid w:val="000B67EE"/>
    <w:rsid w:val="000B785E"/>
    <w:rsid w:val="000C52A3"/>
    <w:rsid w:val="000C72D9"/>
    <w:rsid w:val="000E2046"/>
    <w:rsid w:val="000E286D"/>
    <w:rsid w:val="000E457A"/>
    <w:rsid w:val="000E5172"/>
    <w:rsid w:val="000F4669"/>
    <w:rsid w:val="000F586E"/>
    <w:rsid w:val="000F662F"/>
    <w:rsid w:val="0010488F"/>
    <w:rsid w:val="001049D3"/>
    <w:rsid w:val="00105123"/>
    <w:rsid w:val="00105865"/>
    <w:rsid w:val="00110FCA"/>
    <w:rsid w:val="00112FF2"/>
    <w:rsid w:val="00123350"/>
    <w:rsid w:val="001419A7"/>
    <w:rsid w:val="001424A1"/>
    <w:rsid w:val="00146109"/>
    <w:rsid w:val="00156624"/>
    <w:rsid w:val="00157AD3"/>
    <w:rsid w:val="001647F8"/>
    <w:rsid w:val="001718FF"/>
    <w:rsid w:val="001724A5"/>
    <w:rsid w:val="00173566"/>
    <w:rsid w:val="001754FA"/>
    <w:rsid w:val="00176516"/>
    <w:rsid w:val="00182627"/>
    <w:rsid w:val="00185AF4"/>
    <w:rsid w:val="00186895"/>
    <w:rsid w:val="001B5159"/>
    <w:rsid w:val="001C01C4"/>
    <w:rsid w:val="001C3BC2"/>
    <w:rsid w:val="001D2F2F"/>
    <w:rsid w:val="001D41F5"/>
    <w:rsid w:val="001D6BD3"/>
    <w:rsid w:val="001E0C8D"/>
    <w:rsid w:val="001E1F28"/>
    <w:rsid w:val="001E2A51"/>
    <w:rsid w:val="001E2CDA"/>
    <w:rsid w:val="001E5DAB"/>
    <w:rsid w:val="001E77C5"/>
    <w:rsid w:val="001F048B"/>
    <w:rsid w:val="001F4F97"/>
    <w:rsid w:val="001F5020"/>
    <w:rsid w:val="00200AD8"/>
    <w:rsid w:val="00202A90"/>
    <w:rsid w:val="002038CE"/>
    <w:rsid w:val="00210B61"/>
    <w:rsid w:val="00211A72"/>
    <w:rsid w:val="00214941"/>
    <w:rsid w:val="00215518"/>
    <w:rsid w:val="00216F32"/>
    <w:rsid w:val="00217263"/>
    <w:rsid w:val="002201F3"/>
    <w:rsid w:val="00225351"/>
    <w:rsid w:val="00230B83"/>
    <w:rsid w:val="00232559"/>
    <w:rsid w:val="0023322C"/>
    <w:rsid w:val="002478BF"/>
    <w:rsid w:val="002538F1"/>
    <w:rsid w:val="00254FBC"/>
    <w:rsid w:val="00274441"/>
    <w:rsid w:val="002772B7"/>
    <w:rsid w:val="0028098F"/>
    <w:rsid w:val="00280D89"/>
    <w:rsid w:val="00296AAC"/>
    <w:rsid w:val="002A2929"/>
    <w:rsid w:val="002A380F"/>
    <w:rsid w:val="002A63BF"/>
    <w:rsid w:val="002A76DD"/>
    <w:rsid w:val="002B04A4"/>
    <w:rsid w:val="002B1826"/>
    <w:rsid w:val="002B1A7B"/>
    <w:rsid w:val="002B38CA"/>
    <w:rsid w:val="002B7000"/>
    <w:rsid w:val="002C4235"/>
    <w:rsid w:val="002D14EF"/>
    <w:rsid w:val="002D33A1"/>
    <w:rsid w:val="002D5056"/>
    <w:rsid w:val="002D7DA2"/>
    <w:rsid w:val="002E4068"/>
    <w:rsid w:val="002E72C5"/>
    <w:rsid w:val="002F1AC2"/>
    <w:rsid w:val="002F494B"/>
    <w:rsid w:val="002F50CB"/>
    <w:rsid w:val="002F577B"/>
    <w:rsid w:val="002F5EAF"/>
    <w:rsid w:val="00305C16"/>
    <w:rsid w:val="0030626C"/>
    <w:rsid w:val="0031699A"/>
    <w:rsid w:val="00331D10"/>
    <w:rsid w:val="00332FD2"/>
    <w:rsid w:val="00342619"/>
    <w:rsid w:val="00345854"/>
    <w:rsid w:val="003534B3"/>
    <w:rsid w:val="00363340"/>
    <w:rsid w:val="00363712"/>
    <w:rsid w:val="00365F8B"/>
    <w:rsid w:val="00370E38"/>
    <w:rsid w:val="00371584"/>
    <w:rsid w:val="00373C5B"/>
    <w:rsid w:val="0037787E"/>
    <w:rsid w:val="0038118E"/>
    <w:rsid w:val="0038359F"/>
    <w:rsid w:val="00390DB6"/>
    <w:rsid w:val="00396751"/>
    <w:rsid w:val="00396B21"/>
    <w:rsid w:val="003A718F"/>
    <w:rsid w:val="003B6A7D"/>
    <w:rsid w:val="003C318C"/>
    <w:rsid w:val="003D17C1"/>
    <w:rsid w:val="003D5158"/>
    <w:rsid w:val="003E48C8"/>
    <w:rsid w:val="003F2803"/>
    <w:rsid w:val="003F3517"/>
    <w:rsid w:val="003F3BF7"/>
    <w:rsid w:val="003F6ECF"/>
    <w:rsid w:val="00407EC1"/>
    <w:rsid w:val="004100C9"/>
    <w:rsid w:val="00410B68"/>
    <w:rsid w:val="00417CD1"/>
    <w:rsid w:val="004224F9"/>
    <w:rsid w:val="00426E7A"/>
    <w:rsid w:val="004316B3"/>
    <w:rsid w:val="00432F6A"/>
    <w:rsid w:val="00435A35"/>
    <w:rsid w:val="00441674"/>
    <w:rsid w:val="00442AA1"/>
    <w:rsid w:val="00444A71"/>
    <w:rsid w:val="00445EE2"/>
    <w:rsid w:val="00450FEA"/>
    <w:rsid w:val="004546BE"/>
    <w:rsid w:val="004569E0"/>
    <w:rsid w:val="0045783A"/>
    <w:rsid w:val="004605C8"/>
    <w:rsid w:val="00461B4F"/>
    <w:rsid w:val="00463A64"/>
    <w:rsid w:val="00467D40"/>
    <w:rsid w:val="00476110"/>
    <w:rsid w:val="00477613"/>
    <w:rsid w:val="004809F9"/>
    <w:rsid w:val="0048193E"/>
    <w:rsid w:val="00483495"/>
    <w:rsid w:val="00483D0F"/>
    <w:rsid w:val="004846E1"/>
    <w:rsid w:val="004875DB"/>
    <w:rsid w:val="004911E7"/>
    <w:rsid w:val="004A0731"/>
    <w:rsid w:val="004A3E3D"/>
    <w:rsid w:val="004A7330"/>
    <w:rsid w:val="004B42FC"/>
    <w:rsid w:val="004B526B"/>
    <w:rsid w:val="004C1046"/>
    <w:rsid w:val="004C325F"/>
    <w:rsid w:val="004C43E6"/>
    <w:rsid w:val="004D30F1"/>
    <w:rsid w:val="004D4601"/>
    <w:rsid w:val="004D7A43"/>
    <w:rsid w:val="004D7B54"/>
    <w:rsid w:val="004E00E8"/>
    <w:rsid w:val="004E0C31"/>
    <w:rsid w:val="004E1963"/>
    <w:rsid w:val="004E7D44"/>
    <w:rsid w:val="004F1EC8"/>
    <w:rsid w:val="004F2E16"/>
    <w:rsid w:val="004F49D6"/>
    <w:rsid w:val="0050305C"/>
    <w:rsid w:val="00513E53"/>
    <w:rsid w:val="005238B3"/>
    <w:rsid w:val="00525508"/>
    <w:rsid w:val="00531F08"/>
    <w:rsid w:val="00536071"/>
    <w:rsid w:val="005376B0"/>
    <w:rsid w:val="00546310"/>
    <w:rsid w:val="005472D6"/>
    <w:rsid w:val="00551EAB"/>
    <w:rsid w:val="00552A07"/>
    <w:rsid w:val="00554A89"/>
    <w:rsid w:val="005622C0"/>
    <w:rsid w:val="005807BF"/>
    <w:rsid w:val="005818CA"/>
    <w:rsid w:val="00590B16"/>
    <w:rsid w:val="00594913"/>
    <w:rsid w:val="00595C5A"/>
    <w:rsid w:val="005B2BA5"/>
    <w:rsid w:val="005B53F5"/>
    <w:rsid w:val="005C0BCB"/>
    <w:rsid w:val="005C7C1D"/>
    <w:rsid w:val="005D32E9"/>
    <w:rsid w:val="005D67CB"/>
    <w:rsid w:val="005E0CB6"/>
    <w:rsid w:val="005E155E"/>
    <w:rsid w:val="005E22BE"/>
    <w:rsid w:val="005E3F0E"/>
    <w:rsid w:val="005E4EF8"/>
    <w:rsid w:val="005F1088"/>
    <w:rsid w:val="00602652"/>
    <w:rsid w:val="00612F90"/>
    <w:rsid w:val="0061595A"/>
    <w:rsid w:val="00627B6E"/>
    <w:rsid w:val="00627E2C"/>
    <w:rsid w:val="00641F49"/>
    <w:rsid w:val="00643509"/>
    <w:rsid w:val="0065562A"/>
    <w:rsid w:val="006656F5"/>
    <w:rsid w:val="0067240B"/>
    <w:rsid w:val="0067518D"/>
    <w:rsid w:val="00682563"/>
    <w:rsid w:val="00684586"/>
    <w:rsid w:val="00685EA2"/>
    <w:rsid w:val="00690A14"/>
    <w:rsid w:val="00692E76"/>
    <w:rsid w:val="00695825"/>
    <w:rsid w:val="00697BFE"/>
    <w:rsid w:val="006A0270"/>
    <w:rsid w:val="006A421D"/>
    <w:rsid w:val="006A6564"/>
    <w:rsid w:val="006B22F7"/>
    <w:rsid w:val="006C08CB"/>
    <w:rsid w:val="006C0AAE"/>
    <w:rsid w:val="006C45D5"/>
    <w:rsid w:val="006C68FA"/>
    <w:rsid w:val="006C708B"/>
    <w:rsid w:val="006D1021"/>
    <w:rsid w:val="006D237A"/>
    <w:rsid w:val="006D40F3"/>
    <w:rsid w:val="006D50BC"/>
    <w:rsid w:val="006E2299"/>
    <w:rsid w:val="006F0476"/>
    <w:rsid w:val="006F0E1A"/>
    <w:rsid w:val="006F1729"/>
    <w:rsid w:val="006F1C93"/>
    <w:rsid w:val="006F71C6"/>
    <w:rsid w:val="00701994"/>
    <w:rsid w:val="007043E6"/>
    <w:rsid w:val="00706A10"/>
    <w:rsid w:val="00712683"/>
    <w:rsid w:val="007147FC"/>
    <w:rsid w:val="00715D0D"/>
    <w:rsid w:val="007274B3"/>
    <w:rsid w:val="007373EA"/>
    <w:rsid w:val="007421E2"/>
    <w:rsid w:val="00743993"/>
    <w:rsid w:val="00744D09"/>
    <w:rsid w:val="00753BFE"/>
    <w:rsid w:val="00760F9F"/>
    <w:rsid w:val="00762B9A"/>
    <w:rsid w:val="00763102"/>
    <w:rsid w:val="0076547D"/>
    <w:rsid w:val="007739A6"/>
    <w:rsid w:val="00785623"/>
    <w:rsid w:val="00786021"/>
    <w:rsid w:val="007921DF"/>
    <w:rsid w:val="00793BF8"/>
    <w:rsid w:val="00794B6B"/>
    <w:rsid w:val="007A104F"/>
    <w:rsid w:val="007A548C"/>
    <w:rsid w:val="007B53C9"/>
    <w:rsid w:val="007C5E58"/>
    <w:rsid w:val="007D1FFD"/>
    <w:rsid w:val="007D3CAE"/>
    <w:rsid w:val="007D5478"/>
    <w:rsid w:val="007D7E15"/>
    <w:rsid w:val="007E2915"/>
    <w:rsid w:val="007E5BCF"/>
    <w:rsid w:val="007E5C6A"/>
    <w:rsid w:val="007E6334"/>
    <w:rsid w:val="007E7F2E"/>
    <w:rsid w:val="007F217A"/>
    <w:rsid w:val="007F7BD7"/>
    <w:rsid w:val="00801AF5"/>
    <w:rsid w:val="00807119"/>
    <w:rsid w:val="00807D8E"/>
    <w:rsid w:val="0081199A"/>
    <w:rsid w:val="00812C4D"/>
    <w:rsid w:val="00822256"/>
    <w:rsid w:val="008266F6"/>
    <w:rsid w:val="00836CC1"/>
    <w:rsid w:val="00845A11"/>
    <w:rsid w:val="0084603C"/>
    <w:rsid w:val="00846424"/>
    <w:rsid w:val="00847415"/>
    <w:rsid w:val="00852CCB"/>
    <w:rsid w:val="0085502F"/>
    <w:rsid w:val="00862817"/>
    <w:rsid w:val="00863E81"/>
    <w:rsid w:val="00864064"/>
    <w:rsid w:val="008656EB"/>
    <w:rsid w:val="00865804"/>
    <w:rsid w:val="008755CF"/>
    <w:rsid w:val="00875BC6"/>
    <w:rsid w:val="00876D49"/>
    <w:rsid w:val="00890E68"/>
    <w:rsid w:val="00895F9F"/>
    <w:rsid w:val="00897FFD"/>
    <w:rsid w:val="008A11CE"/>
    <w:rsid w:val="008A18BE"/>
    <w:rsid w:val="008B483E"/>
    <w:rsid w:val="008D3D51"/>
    <w:rsid w:val="008F2B2B"/>
    <w:rsid w:val="008F3A7D"/>
    <w:rsid w:val="008F4C3D"/>
    <w:rsid w:val="008F6158"/>
    <w:rsid w:val="008F6B41"/>
    <w:rsid w:val="00914DCD"/>
    <w:rsid w:val="00921532"/>
    <w:rsid w:val="009227F7"/>
    <w:rsid w:val="00924D35"/>
    <w:rsid w:val="00965B8F"/>
    <w:rsid w:val="00970D4A"/>
    <w:rsid w:val="00971D8C"/>
    <w:rsid w:val="00991317"/>
    <w:rsid w:val="00994591"/>
    <w:rsid w:val="009A44DC"/>
    <w:rsid w:val="009A53B6"/>
    <w:rsid w:val="009A5CD5"/>
    <w:rsid w:val="009B27A1"/>
    <w:rsid w:val="009B27C6"/>
    <w:rsid w:val="009B79AC"/>
    <w:rsid w:val="009C55FF"/>
    <w:rsid w:val="009C5BE7"/>
    <w:rsid w:val="009C5DF8"/>
    <w:rsid w:val="009D2464"/>
    <w:rsid w:val="009D2B67"/>
    <w:rsid w:val="009D3583"/>
    <w:rsid w:val="009E0660"/>
    <w:rsid w:val="009E3945"/>
    <w:rsid w:val="00A03ACE"/>
    <w:rsid w:val="00A058DA"/>
    <w:rsid w:val="00A074E3"/>
    <w:rsid w:val="00A155D8"/>
    <w:rsid w:val="00A17061"/>
    <w:rsid w:val="00A205F6"/>
    <w:rsid w:val="00A22882"/>
    <w:rsid w:val="00A30E68"/>
    <w:rsid w:val="00A33C52"/>
    <w:rsid w:val="00A34710"/>
    <w:rsid w:val="00A35AE7"/>
    <w:rsid w:val="00A36129"/>
    <w:rsid w:val="00A3704E"/>
    <w:rsid w:val="00A45318"/>
    <w:rsid w:val="00A46C89"/>
    <w:rsid w:val="00A524BB"/>
    <w:rsid w:val="00A54475"/>
    <w:rsid w:val="00A6152F"/>
    <w:rsid w:val="00A63AB6"/>
    <w:rsid w:val="00A63C4D"/>
    <w:rsid w:val="00A66B4D"/>
    <w:rsid w:val="00A673DB"/>
    <w:rsid w:val="00A70457"/>
    <w:rsid w:val="00A7327E"/>
    <w:rsid w:val="00A742F3"/>
    <w:rsid w:val="00A756A4"/>
    <w:rsid w:val="00A80540"/>
    <w:rsid w:val="00A80D5A"/>
    <w:rsid w:val="00A8464F"/>
    <w:rsid w:val="00A90C46"/>
    <w:rsid w:val="00A910BA"/>
    <w:rsid w:val="00A94ABD"/>
    <w:rsid w:val="00A97558"/>
    <w:rsid w:val="00AA1977"/>
    <w:rsid w:val="00AA273B"/>
    <w:rsid w:val="00AA404B"/>
    <w:rsid w:val="00AA4D31"/>
    <w:rsid w:val="00AA6861"/>
    <w:rsid w:val="00AB063F"/>
    <w:rsid w:val="00AC4766"/>
    <w:rsid w:val="00AD6001"/>
    <w:rsid w:val="00AF23C3"/>
    <w:rsid w:val="00AF2FE0"/>
    <w:rsid w:val="00AF456D"/>
    <w:rsid w:val="00B00CBB"/>
    <w:rsid w:val="00B01DF0"/>
    <w:rsid w:val="00B02F75"/>
    <w:rsid w:val="00B03B6A"/>
    <w:rsid w:val="00B05A19"/>
    <w:rsid w:val="00B15399"/>
    <w:rsid w:val="00B22BEB"/>
    <w:rsid w:val="00B230D3"/>
    <w:rsid w:val="00B23DE0"/>
    <w:rsid w:val="00B25579"/>
    <w:rsid w:val="00B27751"/>
    <w:rsid w:val="00B31164"/>
    <w:rsid w:val="00B3464D"/>
    <w:rsid w:val="00B45201"/>
    <w:rsid w:val="00B45936"/>
    <w:rsid w:val="00B47572"/>
    <w:rsid w:val="00B559DE"/>
    <w:rsid w:val="00B6267E"/>
    <w:rsid w:val="00B65F85"/>
    <w:rsid w:val="00B73ED1"/>
    <w:rsid w:val="00B8175C"/>
    <w:rsid w:val="00B87194"/>
    <w:rsid w:val="00B9198B"/>
    <w:rsid w:val="00B920A2"/>
    <w:rsid w:val="00BA0117"/>
    <w:rsid w:val="00BA1C85"/>
    <w:rsid w:val="00BB3A0D"/>
    <w:rsid w:val="00BB5B24"/>
    <w:rsid w:val="00BB7DD8"/>
    <w:rsid w:val="00BC2455"/>
    <w:rsid w:val="00BC30E7"/>
    <w:rsid w:val="00BC549F"/>
    <w:rsid w:val="00BC56A4"/>
    <w:rsid w:val="00BC7561"/>
    <w:rsid w:val="00BD1434"/>
    <w:rsid w:val="00BD1F61"/>
    <w:rsid w:val="00BD4D1A"/>
    <w:rsid w:val="00BE18EA"/>
    <w:rsid w:val="00BE3FD8"/>
    <w:rsid w:val="00BF7502"/>
    <w:rsid w:val="00C10E5C"/>
    <w:rsid w:val="00C16CC9"/>
    <w:rsid w:val="00C20C9C"/>
    <w:rsid w:val="00C21649"/>
    <w:rsid w:val="00C27DA2"/>
    <w:rsid w:val="00C32637"/>
    <w:rsid w:val="00C348CB"/>
    <w:rsid w:val="00C3713C"/>
    <w:rsid w:val="00C37DD8"/>
    <w:rsid w:val="00C5376B"/>
    <w:rsid w:val="00C55899"/>
    <w:rsid w:val="00C61180"/>
    <w:rsid w:val="00C62B29"/>
    <w:rsid w:val="00C6594A"/>
    <w:rsid w:val="00C72589"/>
    <w:rsid w:val="00C77D00"/>
    <w:rsid w:val="00C818A8"/>
    <w:rsid w:val="00C85B50"/>
    <w:rsid w:val="00C85BD9"/>
    <w:rsid w:val="00C87115"/>
    <w:rsid w:val="00C94583"/>
    <w:rsid w:val="00C94624"/>
    <w:rsid w:val="00CB3570"/>
    <w:rsid w:val="00CC43F2"/>
    <w:rsid w:val="00CD335D"/>
    <w:rsid w:val="00CD35FF"/>
    <w:rsid w:val="00CE09F0"/>
    <w:rsid w:val="00CE7E38"/>
    <w:rsid w:val="00CF0703"/>
    <w:rsid w:val="00CF102C"/>
    <w:rsid w:val="00CF39A8"/>
    <w:rsid w:val="00D019AB"/>
    <w:rsid w:val="00D0609F"/>
    <w:rsid w:val="00D06277"/>
    <w:rsid w:val="00D17FC3"/>
    <w:rsid w:val="00D20A81"/>
    <w:rsid w:val="00D3114B"/>
    <w:rsid w:val="00D32C9C"/>
    <w:rsid w:val="00D40294"/>
    <w:rsid w:val="00D4571A"/>
    <w:rsid w:val="00D46ADC"/>
    <w:rsid w:val="00D53C83"/>
    <w:rsid w:val="00D60A6C"/>
    <w:rsid w:val="00D62BB1"/>
    <w:rsid w:val="00D634F7"/>
    <w:rsid w:val="00D67BFC"/>
    <w:rsid w:val="00D67E7D"/>
    <w:rsid w:val="00D736EB"/>
    <w:rsid w:val="00D73C1B"/>
    <w:rsid w:val="00D821B1"/>
    <w:rsid w:val="00D82EEA"/>
    <w:rsid w:val="00D83B6A"/>
    <w:rsid w:val="00D90DC1"/>
    <w:rsid w:val="00DA141A"/>
    <w:rsid w:val="00DA34E1"/>
    <w:rsid w:val="00DB56CA"/>
    <w:rsid w:val="00DB7309"/>
    <w:rsid w:val="00DC0094"/>
    <w:rsid w:val="00DC0C33"/>
    <w:rsid w:val="00DC1566"/>
    <w:rsid w:val="00DC39F4"/>
    <w:rsid w:val="00DC3A0D"/>
    <w:rsid w:val="00DD23E4"/>
    <w:rsid w:val="00DD4225"/>
    <w:rsid w:val="00DD4A80"/>
    <w:rsid w:val="00DD5DFB"/>
    <w:rsid w:val="00DE0C5B"/>
    <w:rsid w:val="00DE4C13"/>
    <w:rsid w:val="00DE50FF"/>
    <w:rsid w:val="00DE650F"/>
    <w:rsid w:val="00E01B69"/>
    <w:rsid w:val="00E027F6"/>
    <w:rsid w:val="00E05EA0"/>
    <w:rsid w:val="00E07966"/>
    <w:rsid w:val="00E1029D"/>
    <w:rsid w:val="00E11494"/>
    <w:rsid w:val="00E114DA"/>
    <w:rsid w:val="00E163F4"/>
    <w:rsid w:val="00E171C4"/>
    <w:rsid w:val="00E21094"/>
    <w:rsid w:val="00E23D9E"/>
    <w:rsid w:val="00E32640"/>
    <w:rsid w:val="00E332B4"/>
    <w:rsid w:val="00E34A43"/>
    <w:rsid w:val="00E364B9"/>
    <w:rsid w:val="00E400B5"/>
    <w:rsid w:val="00E47EAC"/>
    <w:rsid w:val="00E54FCE"/>
    <w:rsid w:val="00E64113"/>
    <w:rsid w:val="00E64611"/>
    <w:rsid w:val="00E66BE2"/>
    <w:rsid w:val="00E80F74"/>
    <w:rsid w:val="00E82CF0"/>
    <w:rsid w:val="00E83DC0"/>
    <w:rsid w:val="00E83E23"/>
    <w:rsid w:val="00E83FFB"/>
    <w:rsid w:val="00E91C76"/>
    <w:rsid w:val="00E94473"/>
    <w:rsid w:val="00E95844"/>
    <w:rsid w:val="00EA4AB5"/>
    <w:rsid w:val="00EB4167"/>
    <w:rsid w:val="00EC1EF0"/>
    <w:rsid w:val="00ED2A98"/>
    <w:rsid w:val="00ED3E50"/>
    <w:rsid w:val="00ED7E33"/>
    <w:rsid w:val="00EE3BAE"/>
    <w:rsid w:val="00EF45B3"/>
    <w:rsid w:val="00F06A70"/>
    <w:rsid w:val="00F127CB"/>
    <w:rsid w:val="00F13430"/>
    <w:rsid w:val="00F20FF2"/>
    <w:rsid w:val="00F21D57"/>
    <w:rsid w:val="00F233E6"/>
    <w:rsid w:val="00F31E13"/>
    <w:rsid w:val="00F32FD0"/>
    <w:rsid w:val="00F35996"/>
    <w:rsid w:val="00F36045"/>
    <w:rsid w:val="00F37CA8"/>
    <w:rsid w:val="00F41ADA"/>
    <w:rsid w:val="00F50CBB"/>
    <w:rsid w:val="00F57F3B"/>
    <w:rsid w:val="00F61ADB"/>
    <w:rsid w:val="00F65273"/>
    <w:rsid w:val="00F654D3"/>
    <w:rsid w:val="00F804F1"/>
    <w:rsid w:val="00F850CF"/>
    <w:rsid w:val="00F8611F"/>
    <w:rsid w:val="00FA0D48"/>
    <w:rsid w:val="00FA323C"/>
    <w:rsid w:val="00FA5FB8"/>
    <w:rsid w:val="00FA7733"/>
    <w:rsid w:val="00FC1B7E"/>
    <w:rsid w:val="00FC348B"/>
    <w:rsid w:val="00FC4072"/>
    <w:rsid w:val="00FC6202"/>
    <w:rsid w:val="00FD7306"/>
    <w:rsid w:val="00FE1E76"/>
    <w:rsid w:val="00FF0380"/>
    <w:rsid w:val="00FF2DEF"/>
    <w:rsid w:val="00FF3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DF0C4"/>
  <w15:docId w15:val="{590A2A66-ABF8-4E2A-82B3-1104AAB1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A718F"/>
    <w:rPr>
      <w:sz w:val="24"/>
      <w:szCs w:val="24"/>
      <w:lang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2B1A7B"/>
    <w:pPr>
      <w:tabs>
        <w:tab w:val="center" w:pos="4536"/>
        <w:tab w:val="right" w:pos="9072"/>
      </w:tabs>
    </w:pPr>
  </w:style>
  <w:style w:type="character" w:styleId="Numerstrony">
    <w:name w:val="page number"/>
    <w:basedOn w:val="Domylnaczcionkaakapitu"/>
    <w:rsid w:val="002B1A7B"/>
  </w:style>
  <w:style w:type="paragraph" w:styleId="Tekstdymka">
    <w:name w:val="Balloon Text"/>
    <w:basedOn w:val="Normalny"/>
    <w:semiHidden/>
    <w:rsid w:val="00A8464F"/>
    <w:rPr>
      <w:rFonts w:ascii="Tahoma" w:hAnsi="Tahoma" w:cs="Tahoma"/>
      <w:sz w:val="16"/>
      <w:szCs w:val="16"/>
    </w:rPr>
  </w:style>
  <w:style w:type="paragraph" w:styleId="Tekstpodstawowy">
    <w:name w:val="Body Text"/>
    <w:basedOn w:val="Normalny"/>
    <w:link w:val="TekstpodstawowyZnak"/>
    <w:rsid w:val="00105123"/>
    <w:pPr>
      <w:widowControl w:val="0"/>
      <w:suppressAutoHyphens/>
      <w:autoSpaceDE w:val="0"/>
      <w:jc w:val="both"/>
    </w:pPr>
    <w:rPr>
      <w:rFonts w:eastAsia="Times New Roman"/>
      <w:szCs w:val="20"/>
      <w:lang w:val="x-none" w:eastAsia="zh-CN"/>
    </w:rPr>
  </w:style>
  <w:style w:type="character" w:customStyle="1" w:styleId="TekstpodstawowyZnak">
    <w:name w:val="Tekst podstawowy Znak"/>
    <w:link w:val="Tekstpodstawowy"/>
    <w:rsid w:val="00105123"/>
    <w:rPr>
      <w:rFonts w:eastAsia="Times New Roman"/>
      <w:sz w:val="24"/>
      <w:lang w:eastAsia="zh-CN"/>
    </w:rPr>
  </w:style>
  <w:style w:type="paragraph" w:styleId="Akapitzlist">
    <w:name w:val="List Paragraph"/>
    <w:basedOn w:val="Normalny"/>
    <w:uiPriority w:val="34"/>
    <w:qFormat/>
    <w:rsid w:val="00B03B6A"/>
    <w:pPr>
      <w:ind w:left="708"/>
    </w:pPr>
  </w:style>
  <w:style w:type="paragraph" w:styleId="Tekstprzypisudolnego">
    <w:name w:val="footnote text"/>
    <w:basedOn w:val="Normalny"/>
    <w:link w:val="TekstprzypisudolnegoZnak"/>
    <w:uiPriority w:val="99"/>
    <w:unhideWhenUsed/>
    <w:rsid w:val="00477613"/>
    <w:pPr>
      <w:spacing w:line="276" w:lineRule="auto"/>
    </w:pPr>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477613"/>
    <w:rPr>
      <w:rFonts w:ascii="Calibri" w:eastAsia="Calibri" w:hAnsi="Calibri"/>
      <w:lang w:eastAsia="en-US"/>
    </w:rPr>
  </w:style>
  <w:style w:type="character" w:styleId="Odwoanieprzypisudolnego">
    <w:name w:val="footnote reference"/>
    <w:uiPriority w:val="99"/>
    <w:unhideWhenUsed/>
    <w:rsid w:val="00477613"/>
    <w:rPr>
      <w:vertAlign w:val="superscript"/>
    </w:rPr>
  </w:style>
  <w:style w:type="paragraph" w:customStyle="1" w:styleId="NIEARTTEKSTtekstnieartykuowanynppodstprawnarozplubpreambua">
    <w:name w:val="NIEART_TEKST – tekst nieartykułowany (np. podst. prawna rozp. lub preambuła)"/>
    <w:basedOn w:val="Normalny"/>
    <w:next w:val="Normalny"/>
    <w:uiPriority w:val="7"/>
    <w:qFormat/>
    <w:rsid w:val="00477613"/>
    <w:pPr>
      <w:suppressAutoHyphens/>
      <w:autoSpaceDE w:val="0"/>
      <w:autoSpaceDN w:val="0"/>
      <w:adjustRightInd w:val="0"/>
      <w:spacing w:before="120" w:line="360" w:lineRule="auto"/>
      <w:ind w:firstLine="510"/>
      <w:jc w:val="both"/>
    </w:pPr>
    <w:rPr>
      <w:rFonts w:ascii="Times" w:eastAsia="Times New Roman" w:hAnsi="Times" w:cs="Arial"/>
      <w:bCs/>
      <w:szCs w:val="20"/>
      <w:lang w:eastAsia="pl-PL"/>
    </w:rPr>
  </w:style>
  <w:style w:type="paragraph" w:customStyle="1" w:styleId="Style6">
    <w:name w:val="Style6"/>
    <w:basedOn w:val="Normalny"/>
    <w:uiPriority w:val="99"/>
    <w:rsid w:val="00A80D5A"/>
    <w:pPr>
      <w:widowControl w:val="0"/>
      <w:autoSpaceDE w:val="0"/>
      <w:autoSpaceDN w:val="0"/>
      <w:adjustRightInd w:val="0"/>
      <w:spacing w:line="451" w:lineRule="exact"/>
      <w:ind w:firstLine="701"/>
      <w:jc w:val="both"/>
    </w:pPr>
    <w:rPr>
      <w:rFonts w:eastAsia="Times New Roman"/>
      <w:lang w:eastAsia="pl-PL"/>
    </w:rPr>
  </w:style>
  <w:style w:type="character" w:customStyle="1" w:styleId="FontStyle15">
    <w:name w:val="Font Style15"/>
    <w:uiPriority w:val="99"/>
    <w:rsid w:val="00A80D5A"/>
    <w:rPr>
      <w:rFonts w:ascii="Times New Roman" w:hAnsi="Times New Roman" w:cs="Times New Roman" w:hint="default"/>
      <w:i/>
      <w:iCs/>
      <w:sz w:val="24"/>
      <w:szCs w:val="24"/>
    </w:rPr>
  </w:style>
  <w:style w:type="paragraph" w:customStyle="1" w:styleId="ZPKTzmpktartykuempunktem">
    <w:name w:val="Z/PKT – zm. pkt artykułem (punktem)"/>
    <w:basedOn w:val="Normalny"/>
    <w:uiPriority w:val="31"/>
    <w:qFormat/>
    <w:rsid w:val="004F2E16"/>
    <w:pPr>
      <w:spacing w:line="360" w:lineRule="auto"/>
      <w:ind w:left="1020" w:hanging="510"/>
      <w:jc w:val="both"/>
    </w:pPr>
    <w:rPr>
      <w:rFonts w:ascii="Times" w:eastAsia="Times New Roman" w:hAnsi="Times" w:cs="Arial"/>
      <w:bCs/>
      <w:szCs w:val="20"/>
      <w:lang w:eastAsia="pl-PL"/>
    </w:rPr>
  </w:style>
  <w:style w:type="paragraph" w:customStyle="1" w:styleId="ZARTzmartartykuempunktem">
    <w:name w:val="Z/ART(§) – zm. art. (§) artykułem (punktem)"/>
    <w:basedOn w:val="Normalny"/>
    <w:uiPriority w:val="30"/>
    <w:qFormat/>
    <w:rsid w:val="004F2E16"/>
    <w:pPr>
      <w:suppressAutoHyphens/>
      <w:autoSpaceDE w:val="0"/>
      <w:autoSpaceDN w:val="0"/>
      <w:adjustRightInd w:val="0"/>
      <w:spacing w:line="360" w:lineRule="auto"/>
      <w:ind w:left="510" w:firstLine="510"/>
      <w:jc w:val="both"/>
    </w:pPr>
    <w:rPr>
      <w:rFonts w:ascii="Times" w:eastAsia="Times New Roman" w:hAnsi="Times" w:cs="Arial"/>
      <w:szCs w:val="20"/>
      <w:lang w:eastAsia="pl-PL"/>
    </w:rPr>
  </w:style>
  <w:style w:type="paragraph" w:customStyle="1" w:styleId="ZUSTzmustartykuempunktem">
    <w:name w:val="Z/UST(§) – zm. ust. (§) artykułem (punktem)"/>
    <w:basedOn w:val="ZARTzmartartykuempunktem"/>
    <w:uiPriority w:val="30"/>
    <w:qFormat/>
    <w:rsid w:val="004F2E16"/>
  </w:style>
  <w:style w:type="character" w:styleId="Hipercze">
    <w:name w:val="Hyperlink"/>
    <w:uiPriority w:val="99"/>
    <w:unhideWhenUsed/>
    <w:rsid w:val="004F2E16"/>
    <w:rPr>
      <w:color w:val="0563C1"/>
      <w:u w:val="single"/>
    </w:rPr>
  </w:style>
  <w:style w:type="character" w:styleId="Odwoaniedokomentarza">
    <w:name w:val="annotation reference"/>
    <w:uiPriority w:val="99"/>
    <w:unhideWhenUsed/>
    <w:rsid w:val="004F2E16"/>
    <w:rPr>
      <w:sz w:val="16"/>
      <w:szCs w:val="16"/>
    </w:rPr>
  </w:style>
  <w:style w:type="paragraph" w:styleId="Tekstkomentarza">
    <w:name w:val="annotation text"/>
    <w:basedOn w:val="Normalny"/>
    <w:link w:val="TekstkomentarzaZnak"/>
    <w:uiPriority w:val="99"/>
    <w:unhideWhenUsed/>
    <w:rsid w:val="004F2E16"/>
    <w:pPr>
      <w:widowControl w:val="0"/>
      <w:pBdr>
        <w:top w:val="nil"/>
        <w:left w:val="nil"/>
        <w:bottom w:val="nil"/>
        <w:right w:val="nil"/>
        <w:between w:val="nil"/>
      </w:pBdr>
    </w:pPr>
    <w:rPr>
      <w:rFonts w:eastAsia="Times New Roman"/>
      <w:color w:val="000000"/>
      <w:sz w:val="20"/>
      <w:szCs w:val="20"/>
      <w:lang w:eastAsia="pl-PL"/>
    </w:rPr>
  </w:style>
  <w:style w:type="character" w:customStyle="1" w:styleId="TekstkomentarzaZnak">
    <w:name w:val="Tekst komentarza Znak"/>
    <w:link w:val="Tekstkomentarza"/>
    <w:uiPriority w:val="99"/>
    <w:rsid w:val="004F2E16"/>
    <w:rPr>
      <w:rFonts w:eastAsia="Times New Roman"/>
      <w:color w:val="000000"/>
    </w:rPr>
  </w:style>
  <w:style w:type="paragraph" w:customStyle="1" w:styleId="PKTpunkt">
    <w:name w:val="PKT – punkt"/>
    <w:uiPriority w:val="13"/>
    <w:qFormat/>
    <w:rsid w:val="00461B4F"/>
    <w:pPr>
      <w:spacing w:line="360" w:lineRule="auto"/>
      <w:ind w:left="510" w:hanging="510"/>
      <w:jc w:val="both"/>
    </w:pPr>
    <w:rPr>
      <w:rFonts w:ascii="Times" w:eastAsia="Times New Roman" w:hAnsi="Times" w:cs="Arial"/>
      <w:bCs/>
      <w:sz w:val="24"/>
    </w:rPr>
  </w:style>
  <w:style w:type="paragraph" w:customStyle="1" w:styleId="ZROZDZODDZOZNzmoznrozdzoddzartykuempunktem">
    <w:name w:val="Z/ROZDZ(ODDZ)_OZN – zm. ozn. rozdz. (oddz.) artykułem (punktem)"/>
    <w:next w:val="ZROZDZODDZPRZEDMzmprzedmrozdzoddzartykuempunktem"/>
    <w:uiPriority w:val="29"/>
    <w:qFormat/>
    <w:rsid w:val="00461B4F"/>
    <w:pPr>
      <w:keepNext/>
      <w:suppressAutoHyphens/>
      <w:spacing w:line="360" w:lineRule="auto"/>
      <w:ind w:left="510"/>
      <w:jc w:val="center"/>
    </w:pPr>
    <w:rPr>
      <w:rFonts w:ascii="Times" w:eastAsia="Times New Roman" w:hAnsi="Times" w:cs="Arial"/>
      <w:bCs/>
      <w:kern w:val="24"/>
      <w:sz w:val="24"/>
      <w:szCs w:val="24"/>
    </w:rPr>
  </w:style>
  <w:style w:type="paragraph" w:customStyle="1" w:styleId="ZROZDZODDZPRZEDMzmprzedmrozdzoddzartykuempunktem">
    <w:name w:val="Z/ROZDZ(ODDZ)_PRZEDM – zm. przedm. rozdz. (oddz.) artykułem (punktem)"/>
    <w:basedOn w:val="Normalny"/>
    <w:next w:val="ZARTzmartartykuempunktem"/>
    <w:uiPriority w:val="29"/>
    <w:qFormat/>
    <w:rsid w:val="00461B4F"/>
    <w:pPr>
      <w:keepNext/>
      <w:suppressAutoHyphens/>
      <w:spacing w:before="120" w:after="120" w:line="360" w:lineRule="auto"/>
      <w:ind w:left="510"/>
      <w:jc w:val="center"/>
    </w:pPr>
    <w:rPr>
      <w:rFonts w:ascii="Times" w:eastAsia="Times New Roman" w:hAnsi="Times"/>
      <w:bCs/>
      <w:lang w:eastAsia="pl-PL"/>
    </w:rPr>
  </w:style>
  <w:style w:type="character" w:customStyle="1" w:styleId="Dokumnetpodstawowy">
    <w:name w:val="Dokumnet podstawowy"/>
    <w:uiPriority w:val="1"/>
    <w:rsid w:val="00461B4F"/>
    <w:rPr>
      <w:rFonts w:ascii="Arial" w:hAnsi="Arial"/>
      <w:sz w:val="24"/>
    </w:rPr>
  </w:style>
  <w:style w:type="character" w:customStyle="1" w:styleId="ng-scope1">
    <w:name w:val="ng-scope1"/>
    <w:rsid w:val="00461B4F"/>
  </w:style>
  <w:style w:type="character" w:customStyle="1" w:styleId="Brak">
    <w:name w:val="Brak"/>
    <w:rsid w:val="00461B4F"/>
  </w:style>
  <w:style w:type="paragraph" w:styleId="Tematkomentarza">
    <w:name w:val="annotation subject"/>
    <w:basedOn w:val="Tekstkomentarza"/>
    <w:next w:val="Tekstkomentarza"/>
    <w:link w:val="TematkomentarzaZnak"/>
    <w:rsid w:val="007C5E58"/>
    <w:pPr>
      <w:widowControl/>
      <w:pBdr>
        <w:top w:val="none" w:sz="0" w:space="0" w:color="auto"/>
        <w:left w:val="none" w:sz="0" w:space="0" w:color="auto"/>
        <w:bottom w:val="none" w:sz="0" w:space="0" w:color="auto"/>
        <w:right w:val="none" w:sz="0" w:space="0" w:color="auto"/>
        <w:between w:val="none" w:sz="0" w:space="0" w:color="auto"/>
      </w:pBdr>
    </w:pPr>
    <w:rPr>
      <w:rFonts w:eastAsia="MS Mincho"/>
      <w:b/>
      <w:bCs/>
      <w:color w:val="auto"/>
      <w:lang w:eastAsia="ja-JP"/>
    </w:rPr>
  </w:style>
  <w:style w:type="character" w:customStyle="1" w:styleId="TematkomentarzaZnak">
    <w:name w:val="Temat komentarza Znak"/>
    <w:link w:val="Tematkomentarza"/>
    <w:rsid w:val="007C5E58"/>
    <w:rPr>
      <w:rFonts w:eastAsia="Times New Roman"/>
      <w:b/>
      <w:bCs/>
      <w:color w:val="000000"/>
      <w:lang w:eastAsia="ja-JP"/>
    </w:rPr>
  </w:style>
  <w:style w:type="paragraph" w:styleId="NormalnyWeb">
    <w:name w:val="Normal (Web)"/>
    <w:basedOn w:val="Normalny"/>
    <w:uiPriority w:val="99"/>
    <w:unhideWhenUsed/>
    <w:rsid w:val="003F6ECF"/>
    <w:pPr>
      <w:spacing w:before="100" w:beforeAutospacing="1" w:after="100" w:afterAutospacing="1"/>
    </w:pPr>
    <w:rPr>
      <w:rFonts w:eastAsia="Times New Roman"/>
      <w:lang w:eastAsia="pl-PL"/>
    </w:rPr>
  </w:style>
  <w:style w:type="paragraph" w:styleId="Poprawka">
    <w:name w:val="Revision"/>
    <w:hidden/>
    <w:uiPriority w:val="99"/>
    <w:semiHidden/>
    <w:rsid w:val="00546310"/>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905420">
      <w:bodyDiv w:val="1"/>
      <w:marLeft w:val="0"/>
      <w:marRight w:val="0"/>
      <w:marTop w:val="0"/>
      <w:marBottom w:val="0"/>
      <w:divBdr>
        <w:top w:val="none" w:sz="0" w:space="0" w:color="auto"/>
        <w:left w:val="none" w:sz="0" w:space="0" w:color="auto"/>
        <w:bottom w:val="none" w:sz="0" w:space="0" w:color="auto"/>
        <w:right w:val="none" w:sz="0" w:space="0" w:color="auto"/>
      </w:divBdr>
    </w:div>
    <w:div w:id="190286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loswielkopolski.pl/byly-komornik-z-poznania-zostal-prawomocnie-skazany-za-wielomilionowe-oszustwo-konrad-c-idzie-do-wiezienia-na-35-roku/ar/c1-15668420" TargetMode="External"/><Relationship Id="rId13" Type="http://schemas.openxmlformats.org/officeDocument/2006/relationships/hyperlink" Target="https://sip.lex.pl/akty-prawne/dzu-dziennik-ustaw/referendarze-sadowi-i-aplikacja-referendarska-16799786/par-9"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aplikacja-referendarska-i-egzamin-referendarski-17290307/par-1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aplikacja-referendarska-i-egzamin-referendarski-17290307/par-1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p.pl/sady-i-trybunaly/art36256721-sedzia-z-lublina-zatrzymany-mial-spowodowac-kolizje-po-pijanemu"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info.wyborcza.pl/temat/wyborcza/zatrzymany+adwokat"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2026-02-05T09:46:41+00:00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F8DA17-E8EB-418B-9B74-9B5DBF555CA2}">
  <ds:schemaRefs>
    <ds:schemaRef ds:uri="http://schemas.openxmlformats.org/officeDocument/2006/bibliography"/>
  </ds:schemaRefs>
</ds:datastoreItem>
</file>

<file path=customXml/itemProps2.xml><?xml version="1.0" encoding="utf-8"?>
<ds:datastoreItem xmlns:ds="http://schemas.openxmlformats.org/officeDocument/2006/customXml" ds:itemID="{3A446DF1-B773-4C5C-8ADB-E96DB90711C5}"/>
</file>

<file path=customXml/itemProps3.xml><?xml version="1.0" encoding="utf-8"?>
<ds:datastoreItem xmlns:ds="http://schemas.openxmlformats.org/officeDocument/2006/customXml" ds:itemID="{7F029AED-76CA-4F8A-A0E6-764118DD3758}"/>
</file>

<file path=customXml/itemProps4.xml><?xml version="1.0" encoding="utf-8"?>
<ds:datastoreItem xmlns:ds="http://schemas.openxmlformats.org/officeDocument/2006/customXml" ds:itemID="{989C57BB-2797-4AD5-9C34-ABA76C978E29}"/>
</file>

<file path=docProps/app.xml><?xml version="1.0" encoding="utf-8"?>
<Properties xmlns="http://schemas.openxmlformats.org/officeDocument/2006/extended-properties" xmlns:vt="http://schemas.openxmlformats.org/officeDocument/2006/docPropsVTypes">
  <Template>Normal.dotm</Template>
  <TotalTime>59</TotalTime>
  <Pages>37</Pages>
  <Words>10052</Words>
  <Characters>67660</Characters>
  <Application>Microsoft Office Word</Application>
  <DocSecurity>0</DocSecurity>
  <Lines>563</Lines>
  <Paragraphs>155</Paragraphs>
  <ScaleCrop>false</ScaleCrop>
  <HeadingPairs>
    <vt:vector size="2" baseType="variant">
      <vt:variant>
        <vt:lpstr>Tytuł</vt:lpstr>
      </vt:variant>
      <vt:variant>
        <vt:i4>1</vt:i4>
      </vt:variant>
    </vt:vector>
  </HeadingPairs>
  <TitlesOfParts>
    <vt:vector size="1" baseType="lpstr">
      <vt:lpstr>W odpowiedzi na pismo Pana Dyrektora z dnia 16 listopada 2015 roku (DL-VII-4671-12/15/15 15116-00028), które wpłynęło dnia 18 listopada 2015 roku (L</vt:lpstr>
    </vt:vector>
  </TitlesOfParts>
  <Company/>
  <LinksUpToDate>false</LinksUpToDate>
  <CharactersWithSpaces>77557</CharactersWithSpaces>
  <SharedDoc>false</SharedDoc>
  <HLinks>
    <vt:vector size="36" baseType="variant">
      <vt:variant>
        <vt:i4>7012410</vt:i4>
      </vt:variant>
      <vt:variant>
        <vt:i4>15</vt:i4>
      </vt:variant>
      <vt:variant>
        <vt:i4>0</vt:i4>
      </vt:variant>
      <vt:variant>
        <vt:i4>5</vt:i4>
      </vt:variant>
      <vt:variant>
        <vt:lpwstr>https://sip.lex.pl/akty-prawne/dzu-dziennik-ustaw/referendarze-sadowi-i-aplikacja-referendarska-16799786/par-9</vt:lpwstr>
      </vt:variant>
      <vt:variant>
        <vt:lpwstr/>
      </vt:variant>
      <vt:variant>
        <vt:i4>4915208</vt:i4>
      </vt:variant>
      <vt:variant>
        <vt:i4>12</vt:i4>
      </vt:variant>
      <vt:variant>
        <vt:i4>0</vt:i4>
      </vt:variant>
      <vt:variant>
        <vt:i4>5</vt:i4>
      </vt:variant>
      <vt:variant>
        <vt:lpwstr>https://sip.lex.pl/akty-prawne/dzu-dziennik-ustaw/aplikacja-referendarska-i-egzamin-referendarski-17290307/par-16</vt:lpwstr>
      </vt:variant>
      <vt:variant>
        <vt:lpwstr/>
      </vt:variant>
      <vt:variant>
        <vt:i4>4915208</vt:i4>
      </vt:variant>
      <vt:variant>
        <vt:i4>9</vt:i4>
      </vt:variant>
      <vt:variant>
        <vt:i4>0</vt:i4>
      </vt:variant>
      <vt:variant>
        <vt:i4>5</vt:i4>
      </vt:variant>
      <vt:variant>
        <vt:lpwstr>https://sip.lex.pl/akty-prawne/dzu-dziennik-ustaw/aplikacja-referendarska-i-egzamin-referendarski-17290307/par-13</vt:lpwstr>
      </vt:variant>
      <vt:variant>
        <vt:lpwstr/>
      </vt:variant>
      <vt:variant>
        <vt:i4>3866682</vt:i4>
      </vt:variant>
      <vt:variant>
        <vt:i4>6</vt:i4>
      </vt:variant>
      <vt:variant>
        <vt:i4>0</vt:i4>
      </vt:variant>
      <vt:variant>
        <vt:i4>5</vt:i4>
      </vt:variant>
      <vt:variant>
        <vt:lpwstr>https://www.rp.pl/sady-i-trybunaly/art36256721-sedzia-z-lublina-zatrzymany-mial-spowodowac-kolizje-po-pijanemu</vt:lpwstr>
      </vt:variant>
      <vt:variant>
        <vt:lpwstr/>
      </vt:variant>
      <vt:variant>
        <vt:i4>7012387</vt:i4>
      </vt:variant>
      <vt:variant>
        <vt:i4>3</vt:i4>
      </vt:variant>
      <vt:variant>
        <vt:i4>0</vt:i4>
      </vt:variant>
      <vt:variant>
        <vt:i4>5</vt:i4>
      </vt:variant>
      <vt:variant>
        <vt:lpwstr>https://info.wyborcza.pl/temat/wyborcza/zatrzymany+adwokat</vt:lpwstr>
      </vt:variant>
      <vt:variant>
        <vt:lpwstr/>
      </vt:variant>
      <vt:variant>
        <vt:i4>1310746</vt:i4>
      </vt:variant>
      <vt:variant>
        <vt:i4>0</vt:i4>
      </vt:variant>
      <vt:variant>
        <vt:i4>0</vt:i4>
      </vt:variant>
      <vt:variant>
        <vt:i4>5</vt:i4>
      </vt:variant>
      <vt:variant>
        <vt:lpwstr>https://gloswielkopolski.pl/byly-komornik-z-poznania-zostal-prawomocnie-skazany-za-wielomilionowe-oszustwo-konrad-c-idzie-do-wiezienia-na-35-roku/ar/c1-15668420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odpowiedzi na pismo Pana Dyrektora z dnia 16 listopada 2015 roku (DL-VII-4671-12/15/15 15116-00028), które wpłynęło dnia 18 listopada 2015 roku (L</dc:title>
  <dc:creator>Szymon Posadzy</dc:creator>
  <cp:lastModifiedBy>Stowarzyszenie Notariuszy RP</cp:lastModifiedBy>
  <cp:revision>18</cp:revision>
  <cp:lastPrinted>2022-06-09T17:45:00Z</cp:lastPrinted>
  <dcterms:created xsi:type="dcterms:W3CDTF">2022-06-09T14:01:00Z</dcterms:created>
  <dcterms:modified xsi:type="dcterms:W3CDTF">2022-06-09T17:46:00Z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